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595F9" w14:textId="71CC267D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Obsah</w:t>
      </w:r>
    </w:p>
    <w:p w14:paraId="1BF75A82" w14:textId="77777777" w:rsidR="00CC4B48" w:rsidRPr="006F5B37" w:rsidRDefault="00CC4B48" w:rsidP="00801A9C">
      <w:pPr>
        <w:spacing w:line="276" w:lineRule="auto"/>
        <w:rPr>
          <w:snapToGrid w:val="0"/>
        </w:rPr>
      </w:pPr>
    </w:p>
    <w:p w14:paraId="21A58C52" w14:textId="70B8B0E8" w:rsidR="00DD51CA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84128369" w:history="1">
        <w:r w:rsidR="00DD51CA" w:rsidRPr="004D5015">
          <w:rPr>
            <w:rStyle w:val="Hypertextovodkaz"/>
            <w:noProof/>
          </w:rPr>
          <w:t>1</w:t>
        </w:r>
        <w:r w:rsidR="00DD51CA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="00DD51CA" w:rsidRPr="004D5015">
          <w:rPr>
            <w:rStyle w:val="Hypertextovodkaz"/>
            <w:noProof/>
          </w:rPr>
          <w:t>Všeobecné údaje</w:t>
        </w:r>
        <w:r w:rsidR="00DD51CA">
          <w:rPr>
            <w:noProof/>
            <w:webHidden/>
          </w:rPr>
          <w:tab/>
        </w:r>
        <w:r w:rsidR="00DD51CA">
          <w:rPr>
            <w:noProof/>
            <w:webHidden/>
          </w:rPr>
          <w:fldChar w:fldCharType="begin"/>
        </w:r>
        <w:r w:rsidR="00DD51CA">
          <w:rPr>
            <w:noProof/>
            <w:webHidden/>
          </w:rPr>
          <w:instrText xml:space="preserve"> PAGEREF _Toc184128369 \h </w:instrText>
        </w:r>
        <w:r w:rsidR="00DD51CA">
          <w:rPr>
            <w:noProof/>
            <w:webHidden/>
          </w:rPr>
        </w:r>
        <w:r w:rsidR="00DD51CA">
          <w:rPr>
            <w:noProof/>
            <w:webHidden/>
          </w:rPr>
          <w:fldChar w:fldCharType="separate"/>
        </w:r>
        <w:r w:rsidR="00DD51CA">
          <w:rPr>
            <w:noProof/>
            <w:webHidden/>
          </w:rPr>
          <w:t>2</w:t>
        </w:r>
        <w:r w:rsidR="00DD51CA">
          <w:rPr>
            <w:noProof/>
            <w:webHidden/>
          </w:rPr>
          <w:fldChar w:fldCharType="end"/>
        </w:r>
      </w:hyperlink>
    </w:p>
    <w:p w14:paraId="6704F549" w14:textId="1A0E60B7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70" w:history="1">
        <w:r w:rsidRPr="004D501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442E702" w14:textId="433FB56D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71" w:history="1">
        <w:r w:rsidRPr="004D501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5A50A5F" w14:textId="7F4658C4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72" w:history="1">
        <w:r w:rsidRPr="004D501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8BC5C4" w14:textId="6D19F2F1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73" w:history="1">
        <w:r w:rsidRPr="004D501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2EAF39" w14:textId="162C979E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74" w:history="1">
        <w:r w:rsidRPr="004D501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Rozvody elektroinstalací: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04C7F8" w14:textId="1EC85F71" w:rsidR="00DD51CA" w:rsidRDefault="00DD51CA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128375" w:history="1">
        <w:r w:rsidRPr="004D5015">
          <w:rPr>
            <w:rStyle w:val="Hypertextovodkaz"/>
            <w:bCs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5015">
          <w:rPr>
            <w:rStyle w:val="Hypertextovodkaz"/>
            <w:bCs/>
            <w:noProof/>
          </w:rPr>
          <w:t>Rozvody silnoproudu: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7839A8" w14:textId="43D4C045" w:rsidR="00DD51CA" w:rsidRDefault="00DD51CA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128376" w:history="1">
        <w:r w:rsidRPr="004D5015">
          <w:rPr>
            <w:rStyle w:val="Hypertextovodkaz"/>
            <w:bCs/>
            <w:noProof/>
            <w:snapToGrid w:val="0"/>
          </w:rPr>
          <w:t>4.2.2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5015">
          <w:rPr>
            <w:rStyle w:val="Hypertextovodkaz"/>
            <w:bCs/>
            <w:noProof/>
            <w:snapToGrid w:val="0"/>
          </w:rPr>
          <w:t>Rozvody slaboproudu: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489D39" w14:textId="458AA4EF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77" w:history="1">
        <w:r w:rsidRPr="004D501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Údaje pro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C49793" w14:textId="03E9A8E2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78" w:history="1">
        <w:r w:rsidRPr="004D5015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Materiálové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F7A11E" w14:textId="7DD4708E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79" w:history="1">
        <w:r w:rsidRPr="004D5015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ECD703" w14:textId="2AECFBBA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80" w:history="1">
        <w:r w:rsidRPr="004D5015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Barevné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016323" w14:textId="56344429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81" w:history="1">
        <w:r w:rsidRPr="004D5015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Charakteristiky jednotlivých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44EF69" w14:textId="6A1F928B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82" w:history="1">
        <w:r w:rsidRPr="004D501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Zkoušení, převzetí do užívání, 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A163BE" w14:textId="2587E5AF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83" w:history="1">
        <w:r w:rsidRPr="004D5015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Zkoušky před použitím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7C2647" w14:textId="483D1D61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84" w:history="1">
        <w:r w:rsidRPr="004D5015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Povolený úbytek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D51263" w14:textId="4E76B5FC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85" w:history="1">
        <w:r w:rsidRPr="004D501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2F3A55" w14:textId="1FFFFCAE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86" w:history="1">
        <w:r w:rsidRPr="004D5015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DD849B" w14:textId="39A50AB7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87" w:history="1">
        <w:r w:rsidRPr="004D5015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Ukončovací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34EADB" w14:textId="19F1326C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88" w:history="1">
        <w:r w:rsidRPr="004D5015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Signalizace tlaku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9227E0B" w14:textId="2BC78083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89" w:history="1">
        <w:r w:rsidRPr="004D5015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Klinická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B4A4577" w14:textId="179E4CDD" w:rsidR="00DD51CA" w:rsidRDefault="00DD51CA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8390" w:history="1">
        <w:r w:rsidRPr="004D5015">
          <w:rPr>
            <w:rStyle w:val="Hypertextovodkaz"/>
            <w:noProof/>
          </w:rPr>
          <w:t>10.2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Provozní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B579510" w14:textId="77E131F3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91" w:history="1">
        <w:r w:rsidRPr="004D5015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Oprávnění k provádění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9FE4E72" w14:textId="468845FB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92" w:history="1">
        <w:r w:rsidRPr="004D5015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Požadavky odborné způsobilosti k obsluze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C1437C3" w14:textId="073AC090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93" w:history="1">
        <w:r w:rsidRPr="004D5015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Provoz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EAC3790" w14:textId="1EB72E53" w:rsidR="00DD51CA" w:rsidRDefault="00DD51C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8394" w:history="1">
        <w:r w:rsidRPr="004D5015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D5015">
          <w:rPr>
            <w:rStyle w:val="Hypertextovodkaz"/>
            <w:noProof/>
          </w:rPr>
          <w:t>Informace k řízení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2715A76" w14:textId="0FDC75BE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0" w:name="_Toc268866411"/>
    </w:p>
    <w:p w14:paraId="21A80C67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6F09359" w14:textId="77777777" w:rsidR="00CC4B48" w:rsidRPr="00F549C4" w:rsidRDefault="00CC4B48" w:rsidP="00CC4B48">
      <w:pPr>
        <w:pStyle w:val="Nadpis1"/>
      </w:pPr>
      <w:bookmarkStart w:id="1" w:name="_Toc268865872"/>
      <w:bookmarkStart w:id="2" w:name="_Toc268865937"/>
      <w:bookmarkStart w:id="3" w:name="_Toc268866062"/>
      <w:bookmarkStart w:id="4" w:name="_Toc268866089"/>
      <w:bookmarkStart w:id="5" w:name="_Toc268866293"/>
      <w:bookmarkStart w:id="6" w:name="_Toc268866342"/>
      <w:bookmarkStart w:id="7" w:name="_Toc268866412"/>
      <w:bookmarkStart w:id="8" w:name="_Toc268866549"/>
      <w:bookmarkStart w:id="9" w:name="_Toc268866568"/>
      <w:bookmarkStart w:id="10" w:name="_Toc268866670"/>
      <w:bookmarkStart w:id="11" w:name="_Toc268867499"/>
      <w:bookmarkStart w:id="12" w:name="_Toc268867649"/>
      <w:bookmarkStart w:id="13" w:name="_Toc269383565"/>
      <w:bookmarkStart w:id="14" w:name="_Toc269383798"/>
      <w:bookmarkStart w:id="15" w:name="_Toc269384060"/>
      <w:bookmarkStart w:id="16" w:name="_Toc269384110"/>
      <w:bookmarkStart w:id="17" w:name="_Toc184128369"/>
      <w:bookmarkEnd w:id="0"/>
      <w:r>
        <w:lastRenderedPageBreak/>
        <w:t>V</w:t>
      </w:r>
      <w:r w:rsidRPr="00F549C4">
        <w:t>šeobecn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t>é údaje</w:t>
      </w:r>
      <w:bookmarkEnd w:id="17"/>
    </w:p>
    <w:p w14:paraId="1651A58F" w14:textId="7F3A3F63" w:rsidR="00CC4B48" w:rsidRPr="006F5B37" w:rsidRDefault="00CC4B48" w:rsidP="0025331A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832E1C">
        <w:rPr>
          <w:snapToGrid w:val="0"/>
        </w:rPr>
        <w:t>ČSN EN ISO 7396-1</w:t>
      </w:r>
      <w:r w:rsidR="00151815" w:rsidRPr="00832E1C">
        <w:rPr>
          <w:snapToGrid w:val="0"/>
        </w:rPr>
        <w:t xml:space="preserve"> ed.2</w:t>
      </w:r>
      <w:r w:rsidR="00945873" w:rsidRPr="00832E1C">
        <w:rPr>
          <w:snapToGrid w:val="0"/>
        </w:rPr>
        <w:t>.</w:t>
      </w:r>
      <w:r w:rsidRPr="00832E1C">
        <w:rPr>
          <w:snapToGrid w:val="0"/>
        </w:rPr>
        <w:t xml:space="preserve"> Montážní organizace musí při provádění všech prací dodržet </w:t>
      </w:r>
      <w:r w:rsidR="00832E1C" w:rsidRPr="00832E1C">
        <w:rPr>
          <w:snapToGrid w:val="0"/>
        </w:rPr>
        <w:t>n</w:t>
      </w:r>
      <w:r w:rsidR="00F23329" w:rsidRPr="00832E1C">
        <w:rPr>
          <w:snapToGrid w:val="0"/>
        </w:rPr>
        <w:t>ařízení vlády č.</w:t>
      </w:r>
      <w:r w:rsidR="00832E1C">
        <w:rPr>
          <w:snapToGrid w:val="0"/>
        </w:rPr>
        <w:t> </w:t>
      </w:r>
      <w:r w:rsidR="00F23329" w:rsidRPr="00832E1C">
        <w:rPr>
          <w:snapToGrid w:val="0"/>
        </w:rPr>
        <w:t xml:space="preserve">191/2022 Sb. </w:t>
      </w:r>
      <w:r w:rsidRPr="00832E1C">
        <w:rPr>
          <w:snapToGrid w:val="0"/>
        </w:rPr>
        <w:t>s řádným oprávněním k montážím a revizím daného druhu vyhrazeného plynového</w:t>
      </w:r>
      <w:r w:rsidRPr="006F5B37">
        <w:rPr>
          <w:snapToGrid w:val="0"/>
        </w:rPr>
        <w:t xml:space="preserve">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 xml:space="preserve">vyhrazená </w:t>
      </w:r>
      <w:r w:rsidR="00945873" w:rsidRPr="00832E1C">
        <w:rPr>
          <w:snapToGrid w:val="0"/>
        </w:rPr>
        <w:t>plynová</w:t>
      </w:r>
      <w:r w:rsidRPr="00832E1C">
        <w:rPr>
          <w:snapToGrid w:val="0"/>
        </w:rPr>
        <w:t xml:space="preserve"> zaříze</w:t>
      </w:r>
      <w:r w:rsidR="000437A4" w:rsidRPr="00832E1C">
        <w:rPr>
          <w:snapToGrid w:val="0"/>
        </w:rPr>
        <w:t xml:space="preserve">ní se vztahuje </w:t>
      </w:r>
      <w:r w:rsidR="00832E1C" w:rsidRPr="00832E1C">
        <w:rPr>
          <w:snapToGrid w:val="0"/>
        </w:rPr>
        <w:t>n</w:t>
      </w:r>
      <w:r w:rsidR="00F23329" w:rsidRPr="00832E1C">
        <w:rPr>
          <w:snapToGrid w:val="0"/>
        </w:rPr>
        <w:t>ařízení vlády č. 191/2022 Sb.</w:t>
      </w:r>
    </w:p>
    <w:p w14:paraId="55492BD3" w14:textId="77777777" w:rsidR="00CC4B48" w:rsidRPr="006F5B37" w:rsidRDefault="00CC4B48" w:rsidP="0025331A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7323256D" w14:textId="6AAB5629" w:rsidR="00CC4B48" w:rsidRDefault="00CC4B48" w:rsidP="0025331A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265FB664" w14:textId="77777777" w:rsidR="0044281E" w:rsidRDefault="0044281E" w:rsidP="0025331A">
      <w:pPr>
        <w:rPr>
          <w:snapToGrid w:val="0"/>
        </w:rPr>
      </w:pPr>
    </w:p>
    <w:p w14:paraId="40E4F478" w14:textId="6CDD3264" w:rsidR="0044281E" w:rsidRDefault="0044281E" w:rsidP="0025331A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7CE31525" w14:textId="77777777" w:rsidR="0025331A" w:rsidRPr="006F5B37" w:rsidRDefault="0025331A" w:rsidP="0025331A">
      <w:pPr>
        <w:rPr>
          <w:snapToGrid w:val="0"/>
        </w:rPr>
      </w:pPr>
    </w:p>
    <w:p w14:paraId="2A8366C7" w14:textId="77777777" w:rsidR="00CC4B48" w:rsidRPr="00832E1C" w:rsidRDefault="00CC4B48" w:rsidP="0025331A">
      <w:pPr>
        <w:pStyle w:val="Nadpis1"/>
        <w:spacing w:before="0" w:after="0"/>
      </w:pPr>
      <w:bookmarkStart w:id="18" w:name="_Toc268865875"/>
      <w:bookmarkStart w:id="19" w:name="_Toc268865940"/>
      <w:bookmarkStart w:id="20" w:name="_Toc268866065"/>
      <w:bookmarkStart w:id="21" w:name="_Toc268866092"/>
      <w:bookmarkStart w:id="22" w:name="_Toc268866296"/>
      <w:bookmarkStart w:id="23" w:name="_Toc268866345"/>
      <w:bookmarkStart w:id="24" w:name="_Toc268866415"/>
      <w:bookmarkStart w:id="25" w:name="_Toc268866552"/>
      <w:bookmarkStart w:id="26" w:name="_Toc268866571"/>
      <w:bookmarkStart w:id="27" w:name="_Toc268866673"/>
      <w:bookmarkStart w:id="28" w:name="_Toc268867502"/>
      <w:bookmarkStart w:id="29" w:name="_Toc268867652"/>
      <w:bookmarkStart w:id="30" w:name="_Toc269383568"/>
      <w:bookmarkStart w:id="31" w:name="_Toc269383801"/>
      <w:bookmarkStart w:id="32" w:name="_Toc269384063"/>
      <w:bookmarkStart w:id="33" w:name="_Toc269384113"/>
      <w:bookmarkStart w:id="34" w:name="_Toc184128370"/>
      <w:r w:rsidRPr="00832E1C">
        <w:t>Předpisy a 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6E05047" w14:textId="77777777" w:rsidTr="00E96DF0">
        <w:tc>
          <w:tcPr>
            <w:tcW w:w="2122" w:type="dxa"/>
          </w:tcPr>
          <w:p w14:paraId="0E0AA93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A09D940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Zákon o zadávání veřejných zakázek</w:t>
            </w:r>
          </w:p>
        </w:tc>
      </w:tr>
      <w:tr w:rsidR="00D25FA8" w14:paraId="379A753A" w14:textId="77777777" w:rsidTr="00E96DF0">
        <w:tc>
          <w:tcPr>
            <w:tcW w:w="2122" w:type="dxa"/>
          </w:tcPr>
          <w:p w14:paraId="5C3736AE" w14:textId="77777777" w:rsidR="00D25FA8" w:rsidRPr="0025331A" w:rsidRDefault="00D25FA8" w:rsidP="00D25FA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250/2021 Sb.</w:t>
            </w:r>
          </w:p>
        </w:tc>
        <w:tc>
          <w:tcPr>
            <w:tcW w:w="7732" w:type="dxa"/>
          </w:tcPr>
          <w:p w14:paraId="4D39A5CD" w14:textId="77777777" w:rsidR="00D25FA8" w:rsidRPr="0025331A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 – v platnosti od 1. 7. 2022</w:t>
            </w:r>
          </w:p>
        </w:tc>
      </w:tr>
      <w:tr w:rsidR="00F23329" w14:paraId="620A32C5" w14:textId="77777777" w:rsidTr="00E96DF0">
        <w:tc>
          <w:tcPr>
            <w:tcW w:w="2122" w:type="dxa"/>
          </w:tcPr>
          <w:p w14:paraId="4EF5FA55" w14:textId="3F5469DE" w:rsidR="00F23329" w:rsidRPr="0025331A" w:rsidRDefault="00F23329" w:rsidP="00CC4B4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191/2022 Sb.</w:t>
            </w:r>
          </w:p>
        </w:tc>
        <w:tc>
          <w:tcPr>
            <w:tcW w:w="7732" w:type="dxa"/>
          </w:tcPr>
          <w:p w14:paraId="4D9180E2" w14:textId="6C198D3F" w:rsidR="00F23329" w:rsidRPr="0025331A" w:rsidRDefault="00F23329" w:rsidP="00CC4B4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 xml:space="preserve">Nařízení vlády o vyhrazených technických plynových zařízení </w:t>
            </w:r>
            <w:r w:rsidR="0025331A"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a požadavcích na zajištění jejich bezpečnosti</w:t>
            </w:r>
          </w:p>
        </w:tc>
      </w:tr>
      <w:tr w:rsidR="00B14016" w14:paraId="39EDBE05" w14:textId="77777777" w:rsidTr="00E96DF0">
        <w:tc>
          <w:tcPr>
            <w:tcW w:w="2122" w:type="dxa"/>
          </w:tcPr>
          <w:p w14:paraId="643089A3" w14:textId="77777777" w:rsidR="00B14016" w:rsidRPr="0025331A" w:rsidRDefault="00B14016" w:rsidP="00060DD9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LEK-15 ver.</w:t>
            </w:r>
            <w:r w:rsidR="00060DD9" w:rsidRPr="0025331A">
              <w:rPr>
                <w:rFonts w:asciiTheme="minorHAnsi" w:hAnsiTheme="minorHAnsi" w:cstheme="minorHAnsi"/>
                <w:snapToGrid w:val="0"/>
              </w:rPr>
              <w:t>4</w:t>
            </w:r>
          </w:p>
        </w:tc>
        <w:tc>
          <w:tcPr>
            <w:tcW w:w="7732" w:type="dxa"/>
          </w:tcPr>
          <w:p w14:paraId="351D23A8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14:paraId="2D8DC970" w14:textId="77777777" w:rsidTr="00E96DF0">
        <w:tc>
          <w:tcPr>
            <w:tcW w:w="2122" w:type="dxa"/>
          </w:tcPr>
          <w:p w14:paraId="709FA56C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7396-1</w:t>
            </w:r>
            <w:r w:rsidR="00151815" w:rsidRPr="0025331A">
              <w:rPr>
                <w:rFonts w:asciiTheme="minorHAnsi" w:hAnsiTheme="minorHAnsi" w:cstheme="minorHAnsi"/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379A17BF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14:paraId="1991CBAC" w14:textId="77777777" w:rsidTr="00E96DF0">
        <w:tc>
          <w:tcPr>
            <w:tcW w:w="2122" w:type="dxa"/>
          </w:tcPr>
          <w:p w14:paraId="3B48C2EA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14:paraId="716A642B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14:paraId="1902CA6E" w14:textId="77777777" w:rsidTr="00E96DF0">
        <w:tc>
          <w:tcPr>
            <w:tcW w:w="2122" w:type="dxa"/>
          </w:tcPr>
          <w:p w14:paraId="093F3751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13348</w:t>
            </w:r>
          </w:p>
        </w:tc>
        <w:tc>
          <w:tcPr>
            <w:tcW w:w="7732" w:type="dxa"/>
          </w:tcPr>
          <w:p w14:paraId="5939C9E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14:paraId="4F2298CE" w14:textId="77777777" w:rsidTr="00E96DF0">
        <w:tc>
          <w:tcPr>
            <w:tcW w:w="2122" w:type="dxa"/>
          </w:tcPr>
          <w:p w14:paraId="1B1CA3F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13585</w:t>
            </w:r>
          </w:p>
        </w:tc>
        <w:tc>
          <w:tcPr>
            <w:tcW w:w="7732" w:type="dxa"/>
          </w:tcPr>
          <w:p w14:paraId="34CA476B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Tvrdé pájení - Kvalifikační zkouška páječů a operátorů tvrdého pájení</w:t>
            </w:r>
          </w:p>
        </w:tc>
      </w:tr>
      <w:tr w:rsidR="0025331A" w14:paraId="571D5774" w14:textId="77777777" w:rsidTr="00E96DF0">
        <w:tc>
          <w:tcPr>
            <w:tcW w:w="2122" w:type="dxa"/>
          </w:tcPr>
          <w:p w14:paraId="4504BA45" w14:textId="1BB0DF60" w:rsidR="0025331A" w:rsidRPr="0025331A" w:rsidRDefault="0025331A" w:rsidP="00CC4B48">
            <w:pPr>
              <w:rPr>
                <w:rFonts w:asciiTheme="minorHAnsi" w:hAnsiTheme="minorHAnsi" w:cstheme="minorHAnsi"/>
                <w:snapToGrid w:val="0"/>
              </w:rPr>
            </w:pPr>
            <w:r>
              <w:rPr>
                <w:snapToGrid w:val="0"/>
              </w:rPr>
              <w:t>ČSN EN ISO 17672</w:t>
            </w:r>
          </w:p>
        </w:tc>
        <w:tc>
          <w:tcPr>
            <w:tcW w:w="7732" w:type="dxa"/>
          </w:tcPr>
          <w:p w14:paraId="616ABE8F" w14:textId="070FCD1E" w:rsidR="0025331A" w:rsidRPr="0025331A" w:rsidRDefault="0025331A" w:rsidP="00CC4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Tvrdé pájení - Pájky</w:t>
            </w:r>
          </w:p>
        </w:tc>
      </w:tr>
      <w:tr w:rsidR="00B14016" w14:paraId="166767BC" w14:textId="77777777" w:rsidTr="00E96DF0">
        <w:tc>
          <w:tcPr>
            <w:tcW w:w="2122" w:type="dxa"/>
          </w:tcPr>
          <w:p w14:paraId="7D4CF4DE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286-1</w:t>
            </w:r>
          </w:p>
        </w:tc>
        <w:tc>
          <w:tcPr>
            <w:tcW w:w="7732" w:type="dxa"/>
          </w:tcPr>
          <w:p w14:paraId="0C5AE748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Jednoduché netopené tlakové nádoby pro vzduch nebo dusík - Část 1: Tlakové nádoby pro všeobecné účely</w:t>
            </w:r>
          </w:p>
        </w:tc>
      </w:tr>
      <w:tr w:rsidR="00B14016" w14:paraId="3DE31455" w14:textId="77777777" w:rsidTr="00E96DF0">
        <w:tc>
          <w:tcPr>
            <w:tcW w:w="2122" w:type="dxa"/>
          </w:tcPr>
          <w:p w14:paraId="1803621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38 6405</w:t>
            </w:r>
          </w:p>
        </w:tc>
        <w:tc>
          <w:tcPr>
            <w:tcW w:w="7732" w:type="dxa"/>
          </w:tcPr>
          <w:p w14:paraId="54D65761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Plynová zařízení, zásady provozu</w:t>
            </w:r>
          </w:p>
        </w:tc>
      </w:tr>
      <w:tr w:rsidR="00B14016" w14:paraId="1020DE37" w14:textId="77777777" w:rsidTr="00E96DF0">
        <w:tc>
          <w:tcPr>
            <w:tcW w:w="2122" w:type="dxa"/>
          </w:tcPr>
          <w:p w14:paraId="4B8FD087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673FA81A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14:paraId="60E50612" w14:textId="77777777" w:rsidTr="00E96DF0">
        <w:tc>
          <w:tcPr>
            <w:tcW w:w="2122" w:type="dxa"/>
          </w:tcPr>
          <w:p w14:paraId="57F9A59E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14:paraId="1F537CBC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14:paraId="64E808F5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34AC7DA4" w14:textId="77777777" w:rsidR="00CC4B48" w:rsidRPr="00E00797" w:rsidRDefault="00CC4B48" w:rsidP="00CC4B48">
      <w:pPr>
        <w:pStyle w:val="Nadpis1"/>
      </w:pPr>
      <w:bookmarkStart w:id="35" w:name="_Toc269383566"/>
      <w:bookmarkStart w:id="36" w:name="_Toc269383799"/>
      <w:bookmarkStart w:id="37" w:name="_Toc269384061"/>
      <w:bookmarkStart w:id="38" w:name="_Toc269384111"/>
      <w:bookmarkStart w:id="39" w:name="_Toc268865873"/>
      <w:bookmarkStart w:id="40" w:name="_Toc268865938"/>
      <w:bookmarkStart w:id="41" w:name="_Toc268866063"/>
      <w:bookmarkStart w:id="42" w:name="_Toc268866090"/>
      <w:bookmarkStart w:id="43" w:name="_Toc268866294"/>
      <w:bookmarkStart w:id="44" w:name="_Toc268866343"/>
      <w:bookmarkStart w:id="45" w:name="_Toc268866413"/>
      <w:bookmarkStart w:id="46" w:name="_Toc268866550"/>
      <w:bookmarkStart w:id="47" w:name="_Toc268866569"/>
      <w:bookmarkStart w:id="48" w:name="_Toc268866671"/>
      <w:bookmarkStart w:id="49" w:name="_Toc268867500"/>
      <w:bookmarkStart w:id="50" w:name="_Toc268867650"/>
      <w:bookmarkStart w:id="51" w:name="_Toc184128371"/>
      <w:r w:rsidRPr="00E00797">
        <w:t>Obsah projektu</w:t>
      </w:r>
      <w:bookmarkEnd w:id="35"/>
      <w:bookmarkEnd w:id="36"/>
      <w:bookmarkEnd w:id="37"/>
      <w:bookmarkEnd w:id="38"/>
      <w:bookmarkEnd w:id="51"/>
    </w:p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p w14:paraId="585CBFDD" w14:textId="36791BB0" w:rsidR="00CC4B48" w:rsidRPr="00B25372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na rekonstruovaných pokojích </w:t>
      </w:r>
      <w:r w:rsidR="0004420D">
        <w:rPr>
          <w:snapToGrid w:val="0"/>
        </w:rPr>
        <w:t>dětského oddělení v 5.NP</w:t>
      </w:r>
      <w:r w:rsidRPr="006F5B37">
        <w:rPr>
          <w:snapToGrid w:val="0"/>
        </w:rPr>
        <w:t>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</w:t>
      </w:r>
      <w:r w:rsidRPr="00B25372">
        <w:rPr>
          <w:snapToGrid w:val="0"/>
        </w:rPr>
        <w:lastRenderedPageBreak/>
        <w:t>ventily úseků (klinická signalizace) a návrh zdrojových napájecích jednotek (stropní zdrojové mosty a</w:t>
      </w:r>
      <w:r w:rsidR="00F25A4D" w:rsidRPr="00B25372">
        <w:rPr>
          <w:snapToGrid w:val="0"/>
        </w:rPr>
        <w:t> </w:t>
      </w:r>
      <w:r w:rsidRPr="00B25372">
        <w:rPr>
          <w:snapToGrid w:val="0"/>
        </w:rPr>
        <w:t xml:space="preserve">nástěnné lůžkové rampy). </w:t>
      </w:r>
    </w:p>
    <w:p w14:paraId="57D920D0" w14:textId="5C6F503B" w:rsidR="0089283A" w:rsidRDefault="0089283A" w:rsidP="00CC4B48">
      <w:pPr>
        <w:rPr>
          <w:snapToGrid w:val="0"/>
        </w:rPr>
      </w:pPr>
      <w:r w:rsidRPr="00B25372">
        <w:rPr>
          <w:snapToGrid w:val="0"/>
        </w:rPr>
        <w:t>Projektová dokumentace je rozdělena na 2 etapy, a realizace musí být provedena s přihlédnutím k další etapě</w:t>
      </w:r>
      <w:r w:rsidR="00081028" w:rsidRPr="00B25372">
        <w:rPr>
          <w:snapToGrid w:val="0"/>
        </w:rPr>
        <w:t>.</w:t>
      </w:r>
    </w:p>
    <w:p w14:paraId="79395F78" w14:textId="77777777" w:rsidR="00CC4B48" w:rsidRPr="00E00797" w:rsidRDefault="00CC4B48" w:rsidP="00CC4B48">
      <w:pPr>
        <w:pStyle w:val="Nadpis1"/>
      </w:pPr>
      <w:bookmarkStart w:id="52" w:name="_Toc268865874"/>
      <w:bookmarkStart w:id="53" w:name="_Toc268865939"/>
      <w:bookmarkStart w:id="54" w:name="_Toc268866064"/>
      <w:bookmarkStart w:id="55" w:name="_Toc268866091"/>
      <w:bookmarkStart w:id="56" w:name="_Toc268866295"/>
      <w:bookmarkStart w:id="57" w:name="_Toc268866344"/>
      <w:bookmarkStart w:id="58" w:name="_Toc268866414"/>
      <w:bookmarkStart w:id="59" w:name="_Toc268866551"/>
      <w:bookmarkStart w:id="60" w:name="_Toc268866570"/>
      <w:bookmarkStart w:id="61" w:name="_Toc268866672"/>
      <w:bookmarkStart w:id="62" w:name="_Toc268867501"/>
      <w:bookmarkStart w:id="63" w:name="_Toc268867651"/>
      <w:bookmarkStart w:id="64" w:name="_Toc269383567"/>
      <w:bookmarkStart w:id="65" w:name="_Toc269383800"/>
      <w:bookmarkStart w:id="66" w:name="_Toc269384062"/>
      <w:bookmarkStart w:id="67" w:name="_Toc269384112"/>
      <w:bookmarkStart w:id="68" w:name="_Toc184128372"/>
      <w:r w:rsidRPr="00E00797">
        <w:t>Požadavky na ostatní profese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C3933B9" w14:textId="77777777" w:rsidR="00D85E8E" w:rsidRPr="00D85E8E" w:rsidRDefault="00D85E8E" w:rsidP="00D85E8E">
      <w:pPr>
        <w:pStyle w:val="Nadpis2"/>
      </w:pPr>
      <w:bookmarkStart w:id="69" w:name="_Toc184128373"/>
      <w:r w:rsidRPr="00D85E8E">
        <w:t>Dodavatel stavební části:</w:t>
      </w:r>
      <w:bookmarkEnd w:id="69"/>
    </w:p>
    <w:p w14:paraId="69822A14" w14:textId="77777777" w:rsidR="00D85E8E" w:rsidRPr="00D85E8E" w:rsidRDefault="00D85E8E" w:rsidP="00D85E8E">
      <w:r w:rsidRPr="00D85E8E">
        <w:t>zajistí:</w:t>
      </w:r>
    </w:p>
    <w:p w14:paraId="4195346E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 xml:space="preserve">odvětrání podhledů, kterými jsou vedeny medicinální plyny (přirozená cirkulace vzduchu), </w:t>
      </w:r>
      <w:r w:rsidRPr="00D85E8E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14:paraId="140940C5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 xml:space="preserve">odvětrání SKD stěn, kterými jsou vedeny medicinální plyny, </w:t>
      </w:r>
      <w:r w:rsidRPr="00D85E8E">
        <w:rPr>
          <w:snapToGrid w:val="0"/>
          <w:sz w:val="22"/>
          <w:szCs w:val="22"/>
        </w:rPr>
        <w:t>větrací mřížkou min. cca 100 x 100 mm u podlahy (1x / místnost)</w:t>
      </w:r>
    </w:p>
    <w:p w14:paraId="4206931E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úpravu příček pro instalaci terminálních nástěnných jednotek (TNJ) a skříní uzávěrů plynů (UP)</w:t>
      </w:r>
    </w:p>
    <w:p w14:paraId="1146BFAA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úpravu sádrokartonových příček pro instalaci terminálních nástěnných jednotek (TNJ), skříní uzávěrů plynů (UP) a technologických prvků</w:t>
      </w:r>
    </w:p>
    <w:p w14:paraId="6233A776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v místě instalace nástěnných ramp (NR) na sádrokartonových příčkách osazení profilů umožňujících kotvení NR pomocí kotevních šroubů</w:t>
      </w:r>
    </w:p>
    <w:p w14:paraId="72AC3760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stoupací šachtu pro stoupací potrubí medicinálních plynů opatřenou v každém podlaží dvířky pro zajištění přístupu k uzavíracím ventilům;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14:paraId="53D55217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osazení protipožárních dvířek na stoupačce medicinálních plynů</w:t>
      </w:r>
    </w:p>
    <w:p w14:paraId="39BB0BB5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 xml:space="preserve">koordinace řemesel při instalaci </w:t>
      </w:r>
    </w:p>
    <w:p w14:paraId="57BCDFF1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demontáž a následnou montáž podhledů v místě montáže potrubních rozvodů</w:t>
      </w:r>
    </w:p>
    <w:p w14:paraId="03E7FB71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 xml:space="preserve">stavební průrazy: </w:t>
      </w:r>
    </w:p>
    <w:p w14:paraId="75A5DE30" w14:textId="77777777" w:rsidR="00D85E8E" w:rsidRPr="00D85E8E" w:rsidRDefault="00D85E8E" w:rsidP="00DD51CA">
      <w:pPr>
        <w:numPr>
          <w:ilvl w:val="0"/>
          <w:numId w:val="4"/>
        </w:numPr>
        <w:ind w:left="1134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prostupy nosného stropu a stěn</w:t>
      </w:r>
    </w:p>
    <w:p w14:paraId="7749C3DB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drážky pro potrubní rozvody, které budou vedeny pod omítkou</w:t>
      </w:r>
    </w:p>
    <w:p w14:paraId="63EBA277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zapravení drážek a prostupů po instalaci potrubí</w:t>
      </w:r>
    </w:p>
    <w:p w14:paraId="61C49D73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odvoz suti po bouracích pracích</w:t>
      </w:r>
    </w:p>
    <w:p w14:paraId="4ED92609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vertikální dopravu technologických prvků (stavební výtah)</w:t>
      </w:r>
    </w:p>
    <w:p w14:paraId="7B94F844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ostrahu objektu</w:t>
      </w:r>
    </w:p>
    <w:p w14:paraId="1D05301B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instalaci kotevních prvků do stropních konstrukcí, vč. statického posouzení stropů</w:t>
      </w:r>
    </w:p>
    <w:p w14:paraId="6B1348C2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u výškově stavitelných mostů prostor v podhledu</w:t>
      </w:r>
    </w:p>
    <w:p w14:paraId="5DDB2938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dodávku protipožárních ucpávek</w:t>
      </w:r>
    </w:p>
    <w:p w14:paraId="3BC9352B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zhodnocení požární bezpečnosti budov</w:t>
      </w:r>
    </w:p>
    <w:p w14:paraId="310974B6" w14:textId="77777777" w:rsidR="00D85E8E" w:rsidRPr="00D85E8E" w:rsidRDefault="00D85E8E" w:rsidP="00D85E8E">
      <w:pPr>
        <w:pStyle w:val="Nadpis2"/>
      </w:pPr>
      <w:bookmarkStart w:id="70" w:name="_Toc184128374"/>
      <w:r w:rsidRPr="00D85E8E">
        <w:t>Rozvody elektroinstalací:</w:t>
      </w:r>
      <w:bookmarkEnd w:id="70"/>
    </w:p>
    <w:p w14:paraId="52CF2589" w14:textId="77777777" w:rsidR="00D85E8E" w:rsidRPr="00D85E8E" w:rsidRDefault="00D85E8E" w:rsidP="00DD51CA">
      <w:pPr>
        <w:keepNext/>
        <w:numPr>
          <w:ilvl w:val="2"/>
          <w:numId w:val="1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zCs w:val="22"/>
          <w:u w:val="single"/>
        </w:rPr>
      </w:pPr>
      <w:bookmarkStart w:id="71" w:name="_Toc184128375"/>
      <w:r w:rsidRPr="00D85E8E">
        <w:rPr>
          <w:bCs/>
          <w:szCs w:val="22"/>
          <w:u w:val="single"/>
        </w:rPr>
        <w:t>Rozvody silnoproudu:</w:t>
      </w:r>
      <w:bookmarkEnd w:id="71"/>
    </w:p>
    <w:p w14:paraId="6FDFD42E" w14:textId="77777777" w:rsidR="00D85E8E" w:rsidRPr="00D85E8E" w:rsidRDefault="00D85E8E" w:rsidP="00D85E8E">
      <w:r w:rsidRPr="00D85E8E">
        <w:t>zajistí:</w:t>
      </w:r>
    </w:p>
    <w:p w14:paraId="78DBD9A0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napToGrid w:val="0"/>
          <w:sz w:val="22"/>
          <w:szCs w:val="22"/>
        </w:rPr>
        <w:t>uzemnění rozvodu proti účinkům statické elektřiny</w:t>
      </w:r>
    </w:p>
    <w:p w14:paraId="2538C524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napToGrid w:val="0"/>
          <w:sz w:val="22"/>
          <w:szCs w:val="22"/>
        </w:rPr>
        <w:t>uzemnění skříní s uzávěry plynů (UP) a instalačních komplexů (NR, SM-Z) proti účinkům statické elektřiny</w:t>
      </w:r>
    </w:p>
    <w:p w14:paraId="0DEFACDB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>přívod médií k instalačním komplexům (nástěnné rampy, stropní mosty) dle projektu zdravotnické technologie (popř. dle požadavků nemocnice)</w:t>
      </w:r>
    </w:p>
    <w:p w14:paraId="3EC6F891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lastRenderedPageBreak/>
        <w:t>přívod pro motor zdvižného mostu SM-Z 230 V z DO</w:t>
      </w:r>
    </w:p>
    <w:p w14:paraId="723AB68D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 xml:space="preserve">přívod pro přímé, nepřímé a noční osvětlení nástěnné rampy (nepřímé a noční osvětlení bývá zpravidla ovládané u vstupních dveří) </w:t>
      </w:r>
    </w:p>
    <w:p w14:paraId="517A444B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D85E8E">
        <w:rPr>
          <w:snapToGrid w:val="0"/>
          <w:sz w:val="22"/>
          <w:szCs w:val="22"/>
        </w:rPr>
        <w:t>elektrokrabičce</w:t>
      </w:r>
      <w:proofErr w:type="spellEnd"/>
      <w:r w:rsidRPr="00D85E8E">
        <w:rPr>
          <w:snapToGrid w:val="0"/>
          <w:sz w:val="22"/>
          <w:szCs w:val="22"/>
        </w:rPr>
        <w:t xml:space="preserve"> KU 68)</w:t>
      </w:r>
      <w:r w:rsidRPr="00D85E8E">
        <w:rPr>
          <w:snapToGrid w:val="0"/>
        </w:rPr>
        <w:t xml:space="preserve"> </w:t>
      </w:r>
      <w:r w:rsidRPr="00D85E8E">
        <w:rPr>
          <w:snapToGrid w:val="0"/>
          <w:sz w:val="22"/>
          <w:szCs w:val="22"/>
        </w:rPr>
        <w:t>– na každé sesterně</w:t>
      </w:r>
    </w:p>
    <w:p w14:paraId="5A9AE1DD" w14:textId="4B739123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přívod 230 V napájených z DO k vyhodnocovací skříni signalizačního panelu provozní signalizace a GSM pageru (STP-P) do výšky 1700 mm (ukončit v </w:t>
      </w:r>
      <w:proofErr w:type="spellStart"/>
      <w:r w:rsidRPr="00D85E8E">
        <w:rPr>
          <w:snapToGrid w:val="0"/>
          <w:sz w:val="22"/>
          <w:szCs w:val="22"/>
        </w:rPr>
        <w:t>elektrokrabičce</w:t>
      </w:r>
      <w:proofErr w:type="spellEnd"/>
      <w:r w:rsidRPr="00D85E8E">
        <w:rPr>
          <w:snapToGrid w:val="0"/>
          <w:sz w:val="22"/>
          <w:szCs w:val="22"/>
        </w:rPr>
        <w:t xml:space="preserve"> KU 68)</w:t>
      </w:r>
      <w:r w:rsidRPr="00D85E8E">
        <w:rPr>
          <w:snapToGrid w:val="0"/>
        </w:rPr>
        <w:t xml:space="preserve"> </w:t>
      </w:r>
      <w:r w:rsidRPr="00D85E8E">
        <w:rPr>
          <w:snapToGrid w:val="0"/>
          <w:sz w:val="22"/>
          <w:szCs w:val="22"/>
        </w:rPr>
        <w:t>– na každé</w:t>
      </w:r>
      <w:r w:rsidR="004C5DBF">
        <w:rPr>
          <w:snapToGrid w:val="0"/>
          <w:sz w:val="22"/>
          <w:szCs w:val="22"/>
        </w:rPr>
        <w:t>m stoupacím potrubí</w:t>
      </w:r>
    </w:p>
    <w:p w14:paraId="02D7B55A" w14:textId="77777777" w:rsidR="00D85E8E" w:rsidRPr="00D85E8E" w:rsidRDefault="00D85E8E" w:rsidP="00DD51CA">
      <w:pPr>
        <w:keepNext/>
        <w:numPr>
          <w:ilvl w:val="2"/>
          <w:numId w:val="1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napToGrid w:val="0"/>
          <w:szCs w:val="22"/>
          <w:u w:val="single"/>
        </w:rPr>
      </w:pPr>
      <w:bookmarkStart w:id="72" w:name="_Toc184128376"/>
      <w:r w:rsidRPr="00D85E8E">
        <w:rPr>
          <w:bCs/>
          <w:snapToGrid w:val="0"/>
          <w:szCs w:val="22"/>
          <w:u w:val="single"/>
        </w:rPr>
        <w:t>Rozvody slaboproudu:</w:t>
      </w:r>
      <w:bookmarkEnd w:id="72"/>
    </w:p>
    <w:p w14:paraId="2854FDE9" w14:textId="77777777" w:rsidR="00D85E8E" w:rsidRPr="00D85E8E" w:rsidRDefault="00D85E8E" w:rsidP="00D85E8E">
      <w:r w:rsidRPr="00D85E8E">
        <w:t>zajistí:</w:t>
      </w:r>
    </w:p>
    <w:p w14:paraId="5F9DA0AC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>přívod a dopojení médií k instalačním komplexům (nástěnné rampy, stropní mosty) dle projektu zdravotnické technologie (popř. dle požadavků nemocnice)</w:t>
      </w:r>
    </w:p>
    <w:p w14:paraId="3D29CCD6" w14:textId="77777777" w:rsidR="00D85E8E" w:rsidRPr="00D85E8E" w:rsidRDefault="00D85E8E" w:rsidP="00DD51CA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z w:val="22"/>
          <w:szCs w:val="22"/>
        </w:rPr>
        <w:t>propojení snímačů tlaku se signalizačním panelem klinického nouzového alarmu STP (umístěném v místnosti – sesterna) pomocí el. kabelů (typ SYKFY 2x2x0,5). Snímače tlaku jsou umístěny ve skříních UP před sledovaným pracovištěm.</w:t>
      </w:r>
    </w:p>
    <w:p w14:paraId="07A40C3B" w14:textId="77777777" w:rsidR="00D85E8E" w:rsidRPr="00D85E8E" w:rsidRDefault="00D85E8E" w:rsidP="00D85E8E">
      <w:pPr>
        <w:ind w:left="567" w:hanging="567"/>
        <w:rPr>
          <w:snapToGrid w:val="0"/>
          <w:sz w:val="18"/>
          <w:szCs w:val="18"/>
        </w:rPr>
      </w:pPr>
    </w:p>
    <w:p w14:paraId="3B75E8C8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 xml:space="preserve">Pozn.: </w:t>
      </w:r>
    </w:p>
    <w:p w14:paraId="35702716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>Přívodní svorkovnice technologických prvků není možné používat k rozbočování (smyčkování) vedení elektroinstalací!</w:t>
      </w:r>
    </w:p>
    <w:p w14:paraId="2C5F9B39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 xml:space="preserve">Pozn.: </w:t>
      </w:r>
    </w:p>
    <w:p w14:paraId="6AD29A25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>Všechny snímače tlaku jsou rozsahu 4÷20 mA.</w:t>
      </w:r>
    </w:p>
    <w:p w14:paraId="5974B5A0" w14:textId="77777777" w:rsidR="00CC4B48" w:rsidRDefault="00CC4B48" w:rsidP="00CC4B48">
      <w:pPr>
        <w:pStyle w:val="Nadpis1"/>
      </w:pPr>
      <w:bookmarkStart w:id="73" w:name="_Toc268865876"/>
      <w:bookmarkStart w:id="74" w:name="_Toc268865941"/>
      <w:bookmarkStart w:id="75" w:name="_Toc268866066"/>
      <w:bookmarkStart w:id="76" w:name="_Toc268866093"/>
      <w:bookmarkStart w:id="77" w:name="_Toc268866297"/>
      <w:bookmarkStart w:id="78" w:name="_Toc268866346"/>
      <w:bookmarkStart w:id="79" w:name="_Toc268866416"/>
      <w:bookmarkStart w:id="80" w:name="_Toc268866553"/>
      <w:bookmarkStart w:id="81" w:name="_Toc268866572"/>
      <w:bookmarkStart w:id="82" w:name="_Toc268866674"/>
      <w:bookmarkStart w:id="83" w:name="_Toc268867503"/>
      <w:bookmarkStart w:id="84" w:name="_Toc268867653"/>
      <w:bookmarkStart w:id="85" w:name="_Toc269383569"/>
      <w:bookmarkStart w:id="86" w:name="_Toc269383802"/>
      <w:bookmarkStart w:id="87" w:name="_Toc269384064"/>
      <w:bookmarkStart w:id="88" w:name="_Toc269384114"/>
      <w:bookmarkStart w:id="89" w:name="_Toc184128377"/>
      <w:r>
        <w:t xml:space="preserve">Údaje 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t>pro montáž zařízení</w:t>
      </w:r>
      <w:bookmarkEnd w:id="89"/>
    </w:p>
    <w:p w14:paraId="6D68A539" w14:textId="77777777" w:rsidR="00CC4B48" w:rsidRPr="00095375" w:rsidRDefault="00CC4B48" w:rsidP="00CC4B48">
      <w:pPr>
        <w:pStyle w:val="Nadpis2"/>
      </w:pPr>
      <w:bookmarkStart w:id="90" w:name="_Toc269383803"/>
      <w:bookmarkStart w:id="91" w:name="_Toc269384065"/>
      <w:bookmarkStart w:id="92" w:name="_Toc269384115"/>
      <w:bookmarkStart w:id="93" w:name="_Toc184128378"/>
      <w:r w:rsidRPr="00095375">
        <w:t>Materiálové provedení</w:t>
      </w:r>
      <w:bookmarkEnd w:id="90"/>
      <w:bookmarkEnd w:id="91"/>
      <w:bookmarkEnd w:id="92"/>
      <w:bookmarkEnd w:id="93"/>
    </w:p>
    <w:p w14:paraId="62976BB9" w14:textId="77777777"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14:paraId="660C8753" w14:textId="77777777" w:rsidR="00CC4B48" w:rsidRPr="006F5B37" w:rsidRDefault="00CC4B48" w:rsidP="00CC4B48">
      <w:pPr>
        <w:rPr>
          <w:snapToGrid w:val="0"/>
        </w:rPr>
      </w:pPr>
    </w:p>
    <w:p w14:paraId="09B0634E" w14:textId="46958199"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</w:t>
      </w:r>
      <w:r w:rsidR="0025331A">
        <w:rPr>
          <w:snapToGrid w:val="0"/>
        </w:rPr>
        <w:t xml:space="preserve">ČSN EN </w:t>
      </w:r>
      <w:r w:rsidR="00151815">
        <w:rPr>
          <w:snapToGrid w:val="0"/>
        </w:rPr>
        <w:t>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14:paraId="4EDE6D3E" w14:textId="77777777" w:rsidR="00151815" w:rsidRDefault="00151815" w:rsidP="00CC4B48">
      <w:pPr>
        <w:rPr>
          <w:snapToGrid w:val="0"/>
        </w:rPr>
      </w:pPr>
    </w:p>
    <w:p w14:paraId="4611CF6C" w14:textId="77777777"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14:paraId="344F2B4A" w14:textId="77777777" w:rsidR="00CC4B48" w:rsidRPr="006F5B37" w:rsidRDefault="00CC4B48" w:rsidP="00CC4B48">
      <w:pPr>
        <w:rPr>
          <w:snapToGrid w:val="0"/>
        </w:rPr>
      </w:pPr>
    </w:p>
    <w:p w14:paraId="5C3C938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14:paraId="1AF51749" w14:textId="77777777" w:rsidR="00CC4B48" w:rsidRPr="006F5B37" w:rsidRDefault="00CC4B48" w:rsidP="00CC4B48">
      <w:pPr>
        <w:rPr>
          <w:snapToGrid w:val="0"/>
        </w:rPr>
      </w:pPr>
    </w:p>
    <w:p w14:paraId="478B128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Vzdálenosti mezi povrchy jednotlivých rozvodů je nutno zachovat s ohledem na možnosti provedení montáže, oprav, nátěrů a kontrol nejméně rovnou jednomu průměru potrubí.</w:t>
      </w:r>
    </w:p>
    <w:p w14:paraId="3D538C8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14:paraId="4943FB8D" w14:textId="5F2808ED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směrem ke stoupacímu potrubí.</w:t>
      </w:r>
    </w:p>
    <w:p w14:paraId="50163381" w14:textId="77777777" w:rsidR="00CC4B48" w:rsidRPr="006F5B37" w:rsidRDefault="00CC4B48" w:rsidP="00CC4B48">
      <w:pPr>
        <w:rPr>
          <w:snapToGrid w:val="0"/>
        </w:rPr>
      </w:pPr>
    </w:p>
    <w:p w14:paraId="7EC2A930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14:paraId="0CE181AA" w14:textId="77777777" w:rsidR="00CC4B48" w:rsidRPr="006F5B37" w:rsidRDefault="00CC4B48" w:rsidP="00CC4B48">
      <w:pPr>
        <w:rPr>
          <w:snapToGrid w:val="0"/>
        </w:rPr>
      </w:pPr>
    </w:p>
    <w:p w14:paraId="42380789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14:paraId="064F66AB" w14:textId="77777777" w:rsidR="00F12C14" w:rsidRPr="006F5B37" w:rsidRDefault="00F12C14" w:rsidP="00CC4B48">
      <w:pPr>
        <w:rPr>
          <w:snapToGrid w:val="0"/>
        </w:rPr>
      </w:pPr>
    </w:p>
    <w:p w14:paraId="003FFDE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14:paraId="31FD078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14:paraId="53176445" w14:textId="77777777" w:rsidR="00CC4B48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14:paraId="139DBFE9" w14:textId="77777777" w:rsidR="003F6E52" w:rsidRPr="00F431D7" w:rsidRDefault="003F6E52" w:rsidP="003F6E52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35 až 54</w:t>
      </w:r>
      <w:r w:rsidRPr="00F431D7">
        <w:rPr>
          <w:snapToGrid w:val="0"/>
          <w:u w:val="single"/>
        </w:rPr>
        <w:tab/>
        <w:t>2,5</w:t>
      </w:r>
    </w:p>
    <w:p w14:paraId="7AED7978" w14:textId="77777777" w:rsidR="00CC4B48" w:rsidRPr="006F5B37" w:rsidRDefault="00CC4B48" w:rsidP="00CC4B48">
      <w:pPr>
        <w:rPr>
          <w:snapToGrid w:val="0"/>
        </w:rPr>
      </w:pPr>
    </w:p>
    <w:p w14:paraId="0359ED48" w14:textId="0F6E7FE5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</w:t>
      </w:r>
      <w:r w:rsidR="00F25A4D">
        <w:rPr>
          <w:snapToGrid w:val="0"/>
        </w:rPr>
        <w:t> </w:t>
      </w:r>
      <w:r w:rsidRPr="006F5B37">
        <w:rPr>
          <w:snapToGrid w:val="0"/>
        </w:rPr>
        <w:t>místech</w:t>
      </w:r>
      <w:r w:rsidR="00F25A4D">
        <w:rPr>
          <w:snapToGrid w:val="0"/>
        </w:rPr>
        <w:t>,</w:t>
      </w:r>
      <w:r w:rsidRPr="006F5B37">
        <w:rPr>
          <w:snapToGrid w:val="0"/>
        </w:rPr>
        <w:t xml:space="preserve">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14:paraId="2BF090F0" w14:textId="77777777" w:rsidR="00CC4B48" w:rsidRPr="00095375" w:rsidRDefault="00CC4B48" w:rsidP="00CC4B48">
      <w:pPr>
        <w:pStyle w:val="Nadpis2"/>
      </w:pPr>
      <w:bookmarkStart w:id="94" w:name="_Toc184128379"/>
      <w:r w:rsidRPr="00095375">
        <w:t>Provozovatel</w:t>
      </w:r>
      <w:bookmarkEnd w:id="94"/>
    </w:p>
    <w:p w14:paraId="46F5205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14:paraId="44E6FC61" w14:textId="77777777" w:rsidR="00CC4B48" w:rsidRPr="00095375" w:rsidRDefault="00CC4B48" w:rsidP="00CC4B48">
      <w:pPr>
        <w:pStyle w:val="Nadpis2"/>
      </w:pPr>
      <w:bookmarkStart w:id="95" w:name="_Toc269383805"/>
      <w:bookmarkStart w:id="96" w:name="_Toc269384067"/>
      <w:bookmarkStart w:id="97" w:name="_Toc269384117"/>
      <w:bookmarkStart w:id="98" w:name="_Toc184128380"/>
      <w:r w:rsidRPr="00095375">
        <w:t>Barevné značení</w:t>
      </w:r>
      <w:bookmarkEnd w:id="95"/>
      <w:bookmarkEnd w:id="96"/>
      <w:bookmarkEnd w:id="97"/>
      <w:bookmarkEnd w:id="98"/>
    </w:p>
    <w:p w14:paraId="6C6CED5A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14:paraId="5E063627" w14:textId="77777777" w:rsidR="004C5DBF" w:rsidRPr="006F5B37" w:rsidRDefault="004C5DBF" w:rsidP="00CC4B48">
      <w:pPr>
        <w:rPr>
          <w:snapToGrid w:val="0"/>
        </w:rPr>
      </w:pPr>
    </w:p>
    <w:p w14:paraId="29DA86EA" w14:textId="77777777"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14:paraId="3F76842B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40B93233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24A4AFB9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14:paraId="0EE13CB3" w14:textId="77777777" w:rsidR="00CC4B48" w:rsidRPr="00095375" w:rsidRDefault="00CC4B48" w:rsidP="00CC4B48">
      <w:pPr>
        <w:pStyle w:val="Nadpis2"/>
      </w:pPr>
      <w:bookmarkStart w:id="99" w:name="_Toc269383806"/>
      <w:bookmarkStart w:id="100" w:name="_Toc269384068"/>
      <w:bookmarkStart w:id="101" w:name="_Toc269384118"/>
      <w:bookmarkStart w:id="102" w:name="_Toc184128381"/>
      <w:r w:rsidRPr="00095375">
        <w:lastRenderedPageBreak/>
        <w:t>Charakteristiky jednotlivých plynů</w:t>
      </w:r>
      <w:bookmarkEnd w:id="99"/>
      <w:bookmarkEnd w:id="100"/>
      <w:bookmarkEnd w:id="101"/>
      <w:bookmarkEnd w:id="102"/>
    </w:p>
    <w:p w14:paraId="71E25B6B" w14:textId="77777777"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14:paraId="13DA0126" w14:textId="77777777" w:rsidR="00CC4B48" w:rsidRPr="00C20458" w:rsidRDefault="00CC4B48" w:rsidP="00CC4B48"/>
    <w:p w14:paraId="2D6ACA39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14:paraId="74DCC81E" w14:textId="77777777" w:rsidR="00C20458" w:rsidRDefault="00C20458" w:rsidP="00CC4B48"/>
    <w:p w14:paraId="226C2198" w14:textId="77777777"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14:paraId="29519A50" w14:textId="77777777" w:rsidR="00CC4B48" w:rsidRPr="00D85E8E" w:rsidRDefault="00CC4B48" w:rsidP="00CC4B48">
      <w:pPr>
        <w:pStyle w:val="Nadpis1"/>
        <w:rPr>
          <w:u w:val="single"/>
        </w:rPr>
      </w:pPr>
      <w:bookmarkStart w:id="103" w:name="_Toc268865877"/>
      <w:bookmarkStart w:id="104" w:name="_Toc268865942"/>
      <w:bookmarkStart w:id="105" w:name="_Toc268866067"/>
      <w:bookmarkStart w:id="106" w:name="_Toc268866094"/>
      <w:bookmarkStart w:id="107" w:name="_Toc268866298"/>
      <w:bookmarkStart w:id="108" w:name="_Toc268866347"/>
      <w:bookmarkStart w:id="109" w:name="_Toc268866417"/>
      <w:bookmarkStart w:id="110" w:name="_Toc268866554"/>
      <w:bookmarkStart w:id="111" w:name="_Toc268866573"/>
      <w:bookmarkStart w:id="112" w:name="_Toc268866675"/>
      <w:bookmarkStart w:id="113" w:name="_Toc268867504"/>
      <w:bookmarkStart w:id="114" w:name="_Toc268867654"/>
      <w:bookmarkStart w:id="115" w:name="_Toc269383570"/>
      <w:bookmarkStart w:id="116" w:name="_Toc269383807"/>
      <w:bookmarkStart w:id="117" w:name="_Toc269384069"/>
      <w:bookmarkStart w:id="118" w:name="_Toc269384119"/>
      <w:bookmarkStart w:id="119" w:name="_Toc184128382"/>
      <w:r w:rsidRPr="00D85E8E">
        <w:t>Zkoušení, převzetí do užívání, certifikace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3A99BD9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14:paraId="370B0B1E" w14:textId="77777777" w:rsidR="00CC4B48" w:rsidRPr="006F5B37" w:rsidRDefault="00CC4B48" w:rsidP="00CC4B48">
      <w:pPr>
        <w:rPr>
          <w:snapToGrid w:val="0"/>
        </w:rPr>
      </w:pPr>
    </w:p>
    <w:p w14:paraId="3DB65FC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14:paraId="1884517F" w14:textId="77777777" w:rsidR="00CC4B48" w:rsidRPr="006F5B37" w:rsidRDefault="00CC4B48" w:rsidP="00CC4B48">
      <w:pPr>
        <w:rPr>
          <w:snapToGrid w:val="0"/>
        </w:rPr>
      </w:pPr>
    </w:p>
    <w:p w14:paraId="27373B92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14:paraId="0CF51FFE" w14:textId="3FB8B4AE" w:rsidR="00CC4B48" w:rsidRPr="00D85E8E" w:rsidRDefault="00CC4B48" w:rsidP="00CC4B48">
      <w:pPr>
        <w:pStyle w:val="Nadpis2"/>
      </w:pPr>
      <w:bookmarkStart w:id="120" w:name="_Toc269383808"/>
      <w:bookmarkStart w:id="121" w:name="_Toc269384070"/>
      <w:bookmarkStart w:id="122" w:name="_Toc269384120"/>
      <w:bookmarkStart w:id="123" w:name="_Toc184128383"/>
      <w:r w:rsidRPr="00D85E8E">
        <w:t>Zkoušky před použitím systému</w:t>
      </w:r>
      <w:bookmarkEnd w:id="120"/>
      <w:bookmarkEnd w:id="121"/>
      <w:bookmarkEnd w:id="122"/>
      <w:bookmarkEnd w:id="123"/>
      <w:r w:rsidRPr="00D85E8E">
        <w:t xml:space="preserve"> </w:t>
      </w:r>
    </w:p>
    <w:p w14:paraId="32D8FF7B" w14:textId="77777777" w:rsidR="00CC4B48" w:rsidRPr="006F5B37" w:rsidRDefault="00CC4B48" w:rsidP="00CC4B48">
      <w:r w:rsidRPr="006F5B37">
        <w:t>Musí se provést následující zkoušky a postupy, v libovolném pořadí:</w:t>
      </w:r>
    </w:p>
    <w:p w14:paraId="49CDF1F7" w14:textId="77777777" w:rsidR="00CC4B48" w:rsidRPr="006F5B37" w:rsidRDefault="00CC4B48" w:rsidP="00CC4B48"/>
    <w:p w14:paraId="7CC87A3A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14:paraId="3205F9AF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14:paraId="2A4876BB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14:paraId="38FFBAB4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14:paraId="45AA4BE7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14:paraId="312EC5D2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lastRenderedPageBreak/>
        <w:t>zkoušky výkonnosti systému;</w:t>
      </w:r>
    </w:p>
    <w:p w14:paraId="6A67C827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14:paraId="2A766938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14:paraId="1BAF5626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14:paraId="3088AA40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14:paraId="05F826CE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14:paraId="2F79CEDD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14:paraId="6F01D1CB" w14:textId="77777777" w:rsidR="00CC4B48" w:rsidRPr="006F5B37" w:rsidRDefault="00CC4B48" w:rsidP="00DD51CA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14:paraId="33DA4CF6" w14:textId="77777777" w:rsidR="00CC4B48" w:rsidRPr="006F5B37" w:rsidRDefault="00CC4B48" w:rsidP="00CC4B48">
      <w:pPr>
        <w:rPr>
          <w:snapToGrid w:val="0"/>
        </w:rPr>
      </w:pPr>
    </w:p>
    <w:p w14:paraId="58C748B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14:paraId="703D7C07" w14:textId="77777777" w:rsidR="00CC4B48" w:rsidRPr="006F5B37" w:rsidRDefault="00CC4B48" w:rsidP="00CC4B48">
      <w:pPr>
        <w:rPr>
          <w:snapToGrid w:val="0"/>
        </w:rPr>
      </w:pPr>
    </w:p>
    <w:p w14:paraId="01CC19CC" w14:textId="2BF857A5"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14:paraId="0E066754" w14:textId="77777777" w:rsidR="00CC4B48" w:rsidRPr="006F5B37" w:rsidRDefault="00CC4B48" w:rsidP="00CC4B48">
      <w:pPr>
        <w:rPr>
          <w:snapToGrid w:val="0"/>
        </w:rPr>
      </w:pPr>
    </w:p>
    <w:p w14:paraId="26B6A82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14:paraId="485ED310" w14:textId="77777777" w:rsidR="00CC4B48" w:rsidRPr="006F5B37" w:rsidRDefault="00CC4B48" w:rsidP="00CC4B48">
      <w:pPr>
        <w:rPr>
          <w:snapToGrid w:val="0"/>
        </w:rPr>
      </w:pPr>
    </w:p>
    <w:p w14:paraId="78D3EB4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14:paraId="74F69E52" w14:textId="77777777" w:rsidR="00CC4B48" w:rsidRPr="006F5B37" w:rsidRDefault="00CC4B48" w:rsidP="00CC4B48">
      <w:pPr>
        <w:rPr>
          <w:snapToGrid w:val="0"/>
        </w:rPr>
      </w:pPr>
    </w:p>
    <w:p w14:paraId="3424963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14:paraId="7AA3A181" w14:textId="77777777" w:rsidR="00CC4B48" w:rsidRPr="006F5B37" w:rsidRDefault="00CC4B48" w:rsidP="00CC4B48">
      <w:pPr>
        <w:rPr>
          <w:snapToGrid w:val="0"/>
        </w:rPr>
      </w:pPr>
    </w:p>
    <w:p w14:paraId="7277D6C9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14:paraId="7A77BFD9" w14:textId="77777777" w:rsidR="00CC4B48" w:rsidRPr="006F5B37" w:rsidRDefault="00CC4B48" w:rsidP="00CC4B48">
      <w:pPr>
        <w:rPr>
          <w:snapToGrid w:val="0"/>
        </w:rPr>
      </w:pPr>
    </w:p>
    <w:p w14:paraId="5F07D826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14:paraId="4AFC0E6F" w14:textId="77777777" w:rsidR="00CC4B48" w:rsidRPr="006F5B37" w:rsidRDefault="00CC4B48" w:rsidP="00CC4B48">
      <w:pPr>
        <w:rPr>
          <w:snapToGrid w:val="0"/>
        </w:rPr>
      </w:pPr>
    </w:p>
    <w:p w14:paraId="42C28FFE" w14:textId="77777777" w:rsidR="00CC4B48" w:rsidRDefault="00CC4B48" w:rsidP="00CC4B48">
      <w:r w:rsidRPr="006F5B37">
        <w:t>Těsnost kompletních potrubních rozvodů medicinálních plynů se musí měřit s odpojeným napájecím systémem.</w:t>
      </w:r>
    </w:p>
    <w:p w14:paraId="3D1ACAAE" w14:textId="77777777" w:rsidR="00CC4B48" w:rsidRPr="006F5B37" w:rsidRDefault="00CC4B48" w:rsidP="00CC4B48"/>
    <w:p w14:paraId="47DE5305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14:paraId="3723D08B" w14:textId="77777777" w:rsidR="00CC4B48" w:rsidRPr="006F5B37" w:rsidRDefault="00CC4B48" w:rsidP="00CC4B48">
      <w:pPr>
        <w:rPr>
          <w:snapToGrid w:val="0"/>
        </w:rPr>
      </w:pPr>
    </w:p>
    <w:p w14:paraId="74042348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14:paraId="5DCA8999" w14:textId="77777777" w:rsidR="00CC4B48" w:rsidRPr="006F5B37" w:rsidRDefault="00CC4B48" w:rsidP="00CC4B48">
      <w:pPr>
        <w:rPr>
          <w:snapToGrid w:val="0"/>
        </w:rPr>
      </w:pPr>
    </w:p>
    <w:p w14:paraId="3E0DA9F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14:paraId="2D3D69F4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14:paraId="28168298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14:paraId="6F0434B7" w14:textId="77777777" w:rsidR="004C5DBF" w:rsidRPr="006F5B37" w:rsidRDefault="004C5DBF" w:rsidP="00CC4B48">
      <w:pPr>
        <w:rPr>
          <w:snapToGrid w:val="0"/>
        </w:rPr>
      </w:pPr>
    </w:p>
    <w:p w14:paraId="029CC99B" w14:textId="77777777" w:rsidR="00CC4B48" w:rsidRPr="00095375" w:rsidRDefault="00CC4B48" w:rsidP="00CC4B48">
      <w:pPr>
        <w:pStyle w:val="Nadpis2"/>
      </w:pPr>
      <w:bookmarkStart w:id="124" w:name="_Toc269383809"/>
      <w:bookmarkStart w:id="125" w:name="_Toc269384071"/>
      <w:bookmarkStart w:id="126" w:name="_Toc269384121"/>
      <w:bookmarkStart w:id="127" w:name="_Toc184128384"/>
      <w:r w:rsidRPr="00095375">
        <w:lastRenderedPageBreak/>
        <w:t>Povolený úbytek</w:t>
      </w:r>
      <w:bookmarkEnd w:id="124"/>
      <w:bookmarkEnd w:id="125"/>
      <w:bookmarkEnd w:id="126"/>
      <w:bookmarkEnd w:id="127"/>
    </w:p>
    <w:p w14:paraId="53EEDE4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14:paraId="0DD13E22" w14:textId="77777777"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 w14:anchorId="567D63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29.9pt" o:ole="">
            <v:imagedata r:id="rId8" o:title=""/>
          </v:shape>
          <o:OLEObject Type="Embed" ProgID="Equation.3" ShapeID="_x0000_i1025" DrawAspect="Content" ObjectID="_1794741120" r:id="rId9"/>
        </w:object>
      </w:r>
    </w:p>
    <w:p w14:paraId="2F4952A7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14:paraId="2AF4A244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14:paraId="0601DD21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14:paraId="108CE6F9" w14:textId="77777777" w:rsidR="00CC4B48" w:rsidRPr="006F5B37" w:rsidRDefault="00CC4B48" w:rsidP="00CC4B48">
      <w:pPr>
        <w:rPr>
          <w:snapToGrid w:val="0"/>
        </w:rPr>
      </w:pPr>
    </w:p>
    <w:p w14:paraId="0885A9D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14:paraId="0AD1463F" w14:textId="77777777" w:rsidR="00CC4B48" w:rsidRPr="006F5B37" w:rsidRDefault="00CC4B48" w:rsidP="00CC4B48">
      <w:pPr>
        <w:rPr>
          <w:snapToGrid w:val="0"/>
        </w:rPr>
      </w:pPr>
    </w:p>
    <w:p w14:paraId="198087A6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14:paraId="6F0EF291" w14:textId="77777777" w:rsidR="00CC4B48" w:rsidRPr="00832E1C" w:rsidRDefault="00CC4B48" w:rsidP="00CC4B48">
      <w:pPr>
        <w:pStyle w:val="Nadpis1"/>
      </w:pPr>
      <w:bookmarkStart w:id="128" w:name="_Toc268865878"/>
      <w:bookmarkStart w:id="129" w:name="_Toc268865943"/>
      <w:bookmarkStart w:id="130" w:name="_Toc268866068"/>
      <w:bookmarkStart w:id="131" w:name="_Toc268866095"/>
      <w:bookmarkStart w:id="132" w:name="_Toc268866299"/>
      <w:bookmarkStart w:id="133" w:name="_Toc268866348"/>
      <w:bookmarkStart w:id="134" w:name="_Toc268866418"/>
      <w:bookmarkStart w:id="135" w:name="_Toc268866555"/>
      <w:bookmarkStart w:id="136" w:name="_Toc268866574"/>
      <w:bookmarkStart w:id="137" w:name="_Toc268866676"/>
      <w:bookmarkStart w:id="138" w:name="_Toc268867505"/>
      <w:bookmarkStart w:id="139" w:name="_Toc268867655"/>
      <w:bookmarkStart w:id="140" w:name="_Toc269383571"/>
      <w:bookmarkStart w:id="141" w:name="_Toc269383810"/>
      <w:bookmarkStart w:id="142" w:name="_Toc269384072"/>
      <w:bookmarkStart w:id="143" w:name="_Toc269384122"/>
      <w:bookmarkStart w:id="144" w:name="_Toc184128385"/>
      <w:r w:rsidRPr="00832E1C">
        <w:t>Zdroje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2B7CA99A" w14:textId="77777777" w:rsidR="00CC4B48" w:rsidRPr="00832E1C" w:rsidRDefault="00CC4B48" w:rsidP="00CC4B48">
      <w:r w:rsidRPr="00832E1C">
        <w:t>Postupy pro skladování a zacházení s plynovými lahvemi:</w:t>
      </w:r>
    </w:p>
    <w:p w14:paraId="68833569" w14:textId="77777777" w:rsidR="00CC4B48" w:rsidRPr="00832E1C" w:rsidRDefault="00CC4B48" w:rsidP="00CC4B48"/>
    <w:p w14:paraId="0CA4ED64" w14:textId="77777777" w:rsidR="00CC4B48" w:rsidRPr="00832E1C" w:rsidRDefault="00CC4B48" w:rsidP="00CC4B48">
      <w:r w:rsidRPr="00832E1C">
        <w:t>Lahve s medicinálním plynem se mají skladovat ve skladovacím prostoru lahví s medicinálním plynem buď ve speciální, k tomu určené skladovací místnosti, která je součástí budov zdravotnického zařízení, nebo v oddělené, speciálně pro tento účel postavené budově pro skladování lahví. Tento prostor se má používat výhradně pro skladování lahví s medicinálním plynem. Tento sklad lahví má být zakrytý, vybavený adekvátním větráním a má být chráněn před krádežemi a neoprávněným použitím. Nemají být umístěny v těsné blízkosti jakýchkoliv instalací, které mohou představovat riziko nebo jiné nebezpečí.</w:t>
      </w:r>
    </w:p>
    <w:p w14:paraId="2E33CC8D" w14:textId="77777777" w:rsidR="00CC4B48" w:rsidRPr="00832E1C" w:rsidRDefault="00CC4B48" w:rsidP="00CC4B48"/>
    <w:p w14:paraId="00C2C1C4" w14:textId="77777777" w:rsidR="00CC4B48" w:rsidRDefault="00CC4B48" w:rsidP="00CC4B48">
      <w:r w:rsidRPr="00832E1C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 w:rsidRPr="00832E1C">
        <w:t xml:space="preserve"> ed.2</w:t>
      </w:r>
      <w:r w:rsidRPr="00832E1C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</w:t>
      </w:r>
      <w:r w:rsidRPr="006F5B37">
        <w:t xml:space="preserve"> </w:t>
      </w:r>
    </w:p>
    <w:p w14:paraId="2BC0DACC" w14:textId="77777777" w:rsidR="00CC4B48" w:rsidRPr="00DD51CA" w:rsidRDefault="006D5EBE" w:rsidP="00CC4B48">
      <w:pPr>
        <w:pStyle w:val="Nadpis1"/>
      </w:pPr>
      <w:bookmarkStart w:id="145" w:name="_Toc268865879"/>
      <w:bookmarkStart w:id="146" w:name="_Toc268865944"/>
      <w:bookmarkStart w:id="147" w:name="_Toc268866069"/>
      <w:bookmarkStart w:id="148" w:name="_Toc268866096"/>
      <w:bookmarkStart w:id="149" w:name="_Toc268866300"/>
      <w:bookmarkStart w:id="150" w:name="_Toc268866349"/>
      <w:bookmarkStart w:id="151" w:name="_Toc268866419"/>
      <w:bookmarkStart w:id="152" w:name="_Toc268866556"/>
      <w:bookmarkStart w:id="153" w:name="_Toc268866575"/>
      <w:bookmarkStart w:id="154" w:name="_Toc268866677"/>
      <w:bookmarkStart w:id="155" w:name="_Toc268867506"/>
      <w:bookmarkStart w:id="156" w:name="_Toc268867656"/>
      <w:bookmarkStart w:id="157" w:name="_Toc269383572"/>
      <w:bookmarkStart w:id="158" w:name="_Toc269383814"/>
      <w:bookmarkStart w:id="159" w:name="_Toc269384076"/>
      <w:bookmarkStart w:id="160" w:name="_Toc269384126"/>
      <w:bookmarkStart w:id="161" w:name="_Toc184128386"/>
      <w:r w:rsidRPr="00DD51CA">
        <w:t>Potrubní r</w:t>
      </w:r>
      <w:r w:rsidR="00CC4B48" w:rsidRPr="00DD51CA">
        <w:t>ozvody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 w:rsidR="00CC4B48" w:rsidRPr="00DD51CA">
        <w:t xml:space="preserve"> </w:t>
      </w:r>
    </w:p>
    <w:p w14:paraId="3F48D8B9" w14:textId="6EEC4DD1" w:rsidR="003F6E52" w:rsidRPr="00E00797" w:rsidRDefault="003F6E52" w:rsidP="00CC4B48">
      <w:bookmarkStart w:id="162" w:name="_Toc268865880"/>
      <w:bookmarkStart w:id="163" w:name="_Toc268865945"/>
      <w:bookmarkStart w:id="164" w:name="_Toc268866070"/>
      <w:bookmarkStart w:id="165" w:name="_Toc268866097"/>
      <w:bookmarkStart w:id="166" w:name="_Toc268866301"/>
      <w:bookmarkStart w:id="167" w:name="_Toc268866350"/>
      <w:bookmarkStart w:id="168" w:name="_Toc268866420"/>
      <w:bookmarkStart w:id="169" w:name="_Toc268866557"/>
      <w:bookmarkStart w:id="170" w:name="_Toc268866576"/>
      <w:bookmarkStart w:id="171" w:name="_Toc268866678"/>
      <w:bookmarkStart w:id="172" w:name="_Toc268867507"/>
      <w:bookmarkStart w:id="173" w:name="_Toc268867657"/>
      <w:bookmarkStart w:id="174" w:name="_Toc269383573"/>
      <w:bookmarkStart w:id="175" w:name="_Toc269383815"/>
      <w:bookmarkStart w:id="176" w:name="_Toc269384077"/>
      <w:bookmarkStart w:id="177" w:name="_Toc269384127"/>
      <w:r w:rsidRPr="00E00797">
        <w:t xml:space="preserve">Realizační projekt </w:t>
      </w:r>
      <w:r w:rsidR="0089283A">
        <w:t xml:space="preserve">je </w:t>
      </w:r>
      <w:r w:rsidRPr="00E00797">
        <w:t>rozdělen do dvou samostatných etap. Jednotlivá křídla budou napájena ze samostatných stoupacích potrubí.</w:t>
      </w:r>
    </w:p>
    <w:p w14:paraId="17A375C7" w14:textId="77777777" w:rsidR="003F6E52" w:rsidRPr="00E00797" w:rsidRDefault="003F6E52" w:rsidP="00CC4B48"/>
    <w:p w14:paraId="51A23EC5" w14:textId="5CC7E223" w:rsidR="003F6E52" w:rsidRPr="00E00797" w:rsidRDefault="003F6E52" w:rsidP="00CC4B48">
      <w:pPr>
        <w:rPr>
          <w:u w:val="single"/>
        </w:rPr>
      </w:pPr>
      <w:r w:rsidRPr="00E00797">
        <w:rPr>
          <w:u w:val="single"/>
        </w:rPr>
        <w:t xml:space="preserve">Oddělení </w:t>
      </w:r>
      <w:r w:rsidR="00512BE1">
        <w:rPr>
          <w:u w:val="single"/>
        </w:rPr>
        <w:t>DI</w:t>
      </w:r>
      <w:r w:rsidRPr="00E00797">
        <w:rPr>
          <w:u w:val="single"/>
        </w:rPr>
        <w:t>P</w:t>
      </w:r>
    </w:p>
    <w:p w14:paraId="110390BC" w14:textId="3CEECE3C" w:rsidR="003F6E52" w:rsidRPr="00E00797" w:rsidRDefault="003F6E52" w:rsidP="003F6E52">
      <w:r w:rsidRPr="00E00797">
        <w:t xml:space="preserve">Ze stoupacího potrubí bude potrubí vedeno k UP-3-HU kde budou osazený hlavní uzavírací ventily podlaží. Za uzavíracími ventily patra jsou rozvody medicinálních plynů rozděleny do </w:t>
      </w:r>
      <w:r w:rsidR="00512BE1">
        <w:t>tří</w:t>
      </w:r>
      <w:r w:rsidRPr="00E00797">
        <w:t xml:space="preserve"> samostatných úseků. </w:t>
      </w:r>
    </w:p>
    <w:p w14:paraId="0520B54C" w14:textId="02509065" w:rsidR="003F6E52" w:rsidRPr="00E00797" w:rsidRDefault="003F6E52" w:rsidP="003F6E52">
      <w:r w:rsidRPr="00E00797">
        <w:t xml:space="preserve">Na každý úsek musí být vsazena ventilová skříň </w:t>
      </w:r>
      <w:r w:rsidR="00802D10" w:rsidRPr="00E00797">
        <w:t xml:space="preserve">UP-3 </w:t>
      </w:r>
      <w:r w:rsidRPr="00E00797">
        <w:t xml:space="preserve">(obsahuje pro každý plyn: uzávěr, vstup pro nouzové napojení </w:t>
      </w:r>
      <w:r w:rsidRPr="00E00797">
        <w:rPr>
          <w:snapToGrid w:val="0"/>
          <w:u w:val="single"/>
        </w:rPr>
        <w:t>kompatibilní s českým standardem</w:t>
      </w:r>
      <w:r w:rsidRPr="00E00797">
        <w:t xml:space="preserve">, pro možnost odstavení a zálohování jednotlivých pracovišť, lineární snímač tlaku a manometr). </w:t>
      </w:r>
    </w:p>
    <w:p w14:paraId="0E8EA081" w14:textId="734023B3" w:rsidR="00802D10" w:rsidRPr="00E00797" w:rsidRDefault="00802D10" w:rsidP="003F6E52">
      <w:r w:rsidRPr="00E00797">
        <w:lastRenderedPageBreak/>
        <w:t>Potrubí je dále vedeno</w:t>
      </w:r>
      <w:r w:rsidR="005965D3" w:rsidRPr="00E00797">
        <w:t xml:space="preserve"> podhledem ke stropním zdvižným mostům</w:t>
      </w:r>
      <w:r w:rsidR="00F25A4D" w:rsidRPr="00E00797">
        <w:t xml:space="preserve"> na oddělení JIP</w:t>
      </w:r>
      <w:r w:rsidR="00512BE1">
        <w:t xml:space="preserve"> a rampách ve vyšetřovnách</w:t>
      </w:r>
      <w:r w:rsidR="005965D3" w:rsidRPr="00E00797">
        <w:t>.</w:t>
      </w:r>
    </w:p>
    <w:p w14:paraId="11971E0F" w14:textId="52D7D550" w:rsidR="003F6E52" w:rsidRPr="00E00797" w:rsidRDefault="003F6E52" w:rsidP="00CC4B48"/>
    <w:p w14:paraId="01DE0722" w14:textId="5115615E" w:rsidR="00CC4B48" w:rsidRPr="005965D3" w:rsidRDefault="00CC4B48" w:rsidP="00CC4B48">
      <w:r w:rsidRPr="005965D3">
        <w:t>Každý samostatně uzavíratelný úsek bude opatřen nouzovým klinickým alarmem, který indikuje tlak v potrubí za uzavíracím ventilem úseku, který se odchyluje více než o ±</w:t>
      </w:r>
      <w:proofErr w:type="gramStart"/>
      <w:r w:rsidRPr="005965D3">
        <w:t>20%</w:t>
      </w:r>
      <w:proofErr w:type="gramEnd"/>
      <w:r w:rsidRPr="005965D3">
        <w:t xml:space="preserve"> od jmenovitého distribučního tlaku. Signalizační panel klinického alarmu (signalizace) je umístěn na pracovišti se stálou obsluhou (Sesterna)</w:t>
      </w:r>
      <w:r w:rsidR="005965D3" w:rsidRPr="005965D3">
        <w:t>.</w:t>
      </w:r>
    </w:p>
    <w:p w14:paraId="3DC44B84" w14:textId="77777777" w:rsidR="00CC4B48" w:rsidRPr="006F5B37" w:rsidRDefault="00CC4B48" w:rsidP="00CC4B48"/>
    <w:p w14:paraId="171743FF" w14:textId="77777777" w:rsidR="0089283A" w:rsidRDefault="00CC4B48" w:rsidP="00CC4B48">
      <w:r w:rsidRPr="005965D3">
        <w:t xml:space="preserve">Před odstávkou centrálního rozvodu </w:t>
      </w:r>
      <w:r w:rsidR="005965D3" w:rsidRPr="005965D3">
        <w:t>medicinálních plynů</w:t>
      </w:r>
      <w:r w:rsidRPr="005965D3">
        <w:t xml:space="preserve"> v areálu </w:t>
      </w:r>
      <w:r w:rsidR="005965D3" w:rsidRPr="005965D3">
        <w:t>nemocnice</w:t>
      </w:r>
      <w:r w:rsidRPr="005965D3">
        <w:t xml:space="preserve"> musí být ve spolupráci s technickým oddělením nemocnice zajištěno náhradní napájení (tlakovými lahvemi) všech pavilonů, které jsou závislé na dodávce </w:t>
      </w:r>
      <w:r w:rsidR="005965D3" w:rsidRPr="005965D3">
        <w:t xml:space="preserve">medicinálních plynů </w:t>
      </w:r>
      <w:r w:rsidRPr="005965D3">
        <w:t>z centrálních rozvodů.</w:t>
      </w:r>
      <w:r w:rsidR="005965D3">
        <w:t xml:space="preserve"> </w:t>
      </w:r>
    </w:p>
    <w:p w14:paraId="34494C6F" w14:textId="77777777" w:rsidR="0089283A" w:rsidRDefault="0089283A" w:rsidP="00CC4B48"/>
    <w:p w14:paraId="4F703F70" w14:textId="7E523F0A" w:rsidR="00CC4B48" w:rsidRPr="0089283A" w:rsidRDefault="0089283A" w:rsidP="00CC4B48">
      <w:pPr>
        <w:rPr>
          <w:u w:val="single"/>
        </w:rPr>
      </w:pPr>
      <w:r w:rsidRPr="0089283A">
        <w:rPr>
          <w:u w:val="single"/>
        </w:rPr>
        <w:t>Nově budou j</w:t>
      </w:r>
      <w:r w:rsidR="005965D3" w:rsidRPr="0089283A">
        <w:rPr>
          <w:u w:val="single"/>
        </w:rPr>
        <w:t xml:space="preserve">ednotlivá stoupací potrubí v 1.PP a </w:t>
      </w:r>
      <w:r w:rsidR="00E00797" w:rsidRPr="0089283A">
        <w:rPr>
          <w:u w:val="single"/>
        </w:rPr>
        <w:t xml:space="preserve">v </w:t>
      </w:r>
      <w:r w:rsidR="005965D3" w:rsidRPr="0089283A">
        <w:rPr>
          <w:u w:val="single"/>
        </w:rPr>
        <w:t>1.NP osazen</w:t>
      </w:r>
      <w:r w:rsidRPr="0089283A">
        <w:rPr>
          <w:u w:val="single"/>
        </w:rPr>
        <w:t>a</w:t>
      </w:r>
      <w:r w:rsidR="005965D3" w:rsidRPr="0089283A">
        <w:rPr>
          <w:u w:val="single"/>
        </w:rPr>
        <w:t xml:space="preserve"> novými uzavíracími ventily</w:t>
      </w:r>
      <w:r w:rsidR="00E00797" w:rsidRPr="0089283A">
        <w:rPr>
          <w:u w:val="single"/>
        </w:rPr>
        <w:t xml:space="preserve"> (odboček)</w:t>
      </w:r>
      <w:r w:rsidR="005965D3" w:rsidRPr="0089283A">
        <w:rPr>
          <w:u w:val="single"/>
        </w:rPr>
        <w:t xml:space="preserve">, aby se dala jednotlivá </w:t>
      </w:r>
      <w:r w:rsidR="004C5DBF" w:rsidRPr="0089283A">
        <w:rPr>
          <w:u w:val="single"/>
        </w:rPr>
        <w:t xml:space="preserve">křídla </w:t>
      </w:r>
      <w:r w:rsidRPr="0089283A">
        <w:rPr>
          <w:u w:val="single"/>
        </w:rPr>
        <w:t xml:space="preserve">v budoucnu </w:t>
      </w:r>
      <w:r w:rsidR="004C5DBF" w:rsidRPr="0089283A">
        <w:rPr>
          <w:u w:val="single"/>
        </w:rPr>
        <w:t>odstavovat samostatně.</w:t>
      </w:r>
    </w:p>
    <w:p w14:paraId="203E9DCE" w14:textId="77777777" w:rsidR="00CC4B48" w:rsidRPr="006F5B37" w:rsidRDefault="00CC4B48" w:rsidP="00CC4B48"/>
    <w:p w14:paraId="4B7B64AC" w14:textId="77777777"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14:paraId="57D1F479" w14:textId="77777777" w:rsidR="00CC4B48" w:rsidRPr="00DD51CA" w:rsidRDefault="00CC4B48" w:rsidP="004D38E5">
      <w:pPr>
        <w:pStyle w:val="Nadpis1"/>
        <w:ind w:left="709" w:hanging="709"/>
      </w:pPr>
      <w:bookmarkStart w:id="178" w:name="_Toc184128387"/>
      <w:r w:rsidRPr="00DD51CA">
        <w:t>Ukončovací prvky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DD51CA">
        <w:t xml:space="preserve"> </w:t>
      </w:r>
    </w:p>
    <w:p w14:paraId="2C9CA591" w14:textId="77777777" w:rsidR="007959DE" w:rsidRDefault="00CD6BE1" w:rsidP="007959DE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</w:t>
      </w:r>
      <w:proofErr w:type="spellStart"/>
      <w:r w:rsidR="00E95224">
        <w:t>IIb</w:t>
      </w:r>
      <w:proofErr w:type="spellEnd"/>
      <w:r w:rsidR="00E95224">
        <w:t>)</w:t>
      </w:r>
      <w:r>
        <w:t xml:space="preserve"> a být označeny značkou CE s číslem notifikované osoby.</w:t>
      </w:r>
      <w:r w:rsidR="007959DE">
        <w:t xml:space="preserve"> </w:t>
      </w:r>
      <w:r w:rsidR="007959DE" w:rsidRPr="00120F8F">
        <w:t xml:space="preserve">Dále </w:t>
      </w:r>
    </w:p>
    <w:p w14:paraId="10887CD4" w14:textId="77777777" w:rsidR="007959DE" w:rsidRPr="004C5DBF" w:rsidRDefault="007959DE" w:rsidP="007959DE">
      <w:r w:rsidRPr="004C5DBF">
        <w:t>musí být tyto zdravotnické prostředky dle zákona o ZP notifikovány v registru zdravotnických prostředků.</w:t>
      </w:r>
    </w:p>
    <w:p w14:paraId="552BDA32" w14:textId="77777777" w:rsidR="00DE5C64" w:rsidRPr="004C5DBF" w:rsidRDefault="00DE5C64" w:rsidP="00CC4B48"/>
    <w:p w14:paraId="0E5E9FA9" w14:textId="3E46BCB3" w:rsidR="00CC4B48" w:rsidRPr="004C5DBF" w:rsidRDefault="00B833D7" w:rsidP="00CC4B48">
      <w:r w:rsidRPr="004C5DBF">
        <w:t>Zdravotnické napájecí jednotky s terminální jednotkou</w:t>
      </w:r>
      <w:r w:rsidR="00CC4B48" w:rsidRPr="004C5DBF">
        <w:t xml:space="preserve"> s vývody kyslíku musí být umístěny min.</w:t>
      </w:r>
      <w:r w:rsidR="00F25A4D">
        <w:t> </w:t>
      </w:r>
      <w:r w:rsidR="00CC4B48" w:rsidRPr="004C5DBF">
        <w:t>200 mm od vývodů el. proudu.</w:t>
      </w:r>
    </w:p>
    <w:p w14:paraId="279D8822" w14:textId="77777777" w:rsidR="004C5DBF" w:rsidRPr="004C5DBF" w:rsidRDefault="004C5DBF" w:rsidP="00CC4B48"/>
    <w:p w14:paraId="393C8228" w14:textId="3B2222CB" w:rsidR="00CC4B48" w:rsidRPr="004C5DBF" w:rsidRDefault="00CC4B48" w:rsidP="00CC4B48">
      <w:r w:rsidRPr="004C5DBF">
        <w:t>Umístění zdrojových napájecích jednotek bude stanoveno na základě požadavků zdravotnického personálu a ve spolupráci s technickým oddělením nemocnice.</w:t>
      </w:r>
    </w:p>
    <w:p w14:paraId="6159FBE4" w14:textId="77777777" w:rsidR="00CC4B48" w:rsidRPr="004C5DBF" w:rsidRDefault="00CC4B48" w:rsidP="00CC4B48"/>
    <w:p w14:paraId="731085D2" w14:textId="10D595CB" w:rsidR="0044420E" w:rsidRPr="00E74ACA" w:rsidRDefault="0044420E" w:rsidP="0044420E">
      <w:pPr>
        <w:rPr>
          <w:b/>
        </w:rPr>
      </w:pPr>
      <w:r w:rsidRPr="00E74ACA">
        <w:rPr>
          <w:b/>
        </w:rPr>
        <w:t xml:space="preserve">Zdvižný most pro </w:t>
      </w:r>
      <w:r w:rsidR="00711FF7">
        <w:rPr>
          <w:b/>
        </w:rPr>
        <w:t>D</w:t>
      </w:r>
      <w:r w:rsidRPr="00E74ACA">
        <w:rPr>
          <w:b/>
        </w:rPr>
        <w:t>IP - jednolůžkový</w:t>
      </w:r>
    </w:p>
    <w:p w14:paraId="5BEAB8C8" w14:textId="6128026A" w:rsidR="0044420E" w:rsidRPr="00E74ACA" w:rsidRDefault="0044420E" w:rsidP="0044420E">
      <w:pPr>
        <w:rPr>
          <w:b/>
        </w:rPr>
      </w:pPr>
      <w:r w:rsidRPr="00E74ACA">
        <w:rPr>
          <w:b/>
        </w:rPr>
        <w:t xml:space="preserve">SM-Z – </w:t>
      </w:r>
      <w:r w:rsidR="00711FF7">
        <w:rPr>
          <w:b/>
        </w:rPr>
        <w:t>8</w:t>
      </w:r>
      <w:r w:rsidRPr="00E74ACA">
        <w:rPr>
          <w:b/>
        </w:rPr>
        <w:t xml:space="preserve"> ks (2000 mm)</w:t>
      </w:r>
    </w:p>
    <w:p w14:paraId="56BFB549" w14:textId="6211CD0B" w:rsidR="0044420E" w:rsidRDefault="0044420E" w:rsidP="0044420E">
      <w:pPr>
        <w:ind w:left="567"/>
      </w:pPr>
      <w:r>
        <w:t xml:space="preserve">- </w:t>
      </w:r>
      <w:r w:rsidR="00711FF7">
        <w:t>12</w:t>
      </w:r>
      <w:r>
        <w:t xml:space="preserve"> x el. zásuvka VDO (záloha UPS + ZIS)</w:t>
      </w:r>
      <w:r w:rsidR="00711FF7">
        <w:t xml:space="preserve"> – 2x přívod</w:t>
      </w:r>
    </w:p>
    <w:p w14:paraId="139A8930" w14:textId="4A48A157" w:rsidR="0044420E" w:rsidRDefault="0044420E" w:rsidP="0044420E">
      <w:pPr>
        <w:ind w:left="567"/>
      </w:pPr>
      <w:r>
        <w:t xml:space="preserve">- </w:t>
      </w:r>
      <w:r w:rsidR="00711FF7">
        <w:t>12</w:t>
      </w:r>
      <w:r>
        <w:t xml:space="preserve"> x el. zásuvka ZIS (záloha dieselagregát + ZIS)</w:t>
      </w:r>
      <w:r w:rsidR="00711FF7" w:rsidRPr="00711FF7">
        <w:t xml:space="preserve"> </w:t>
      </w:r>
      <w:r w:rsidR="00711FF7">
        <w:t>– 2x přívod</w:t>
      </w:r>
    </w:p>
    <w:p w14:paraId="2A8DBDD9" w14:textId="4B7154AF" w:rsidR="0044420E" w:rsidRDefault="0044420E" w:rsidP="0044420E">
      <w:pPr>
        <w:ind w:left="567"/>
      </w:pPr>
      <w:r>
        <w:t xml:space="preserve">- </w:t>
      </w:r>
      <w:r w:rsidR="00711FF7">
        <w:t>2</w:t>
      </w:r>
      <w:r>
        <w:t xml:space="preserve"> x el. zásuvka </w:t>
      </w:r>
      <w:r w:rsidR="00711FF7">
        <w:t>M</w:t>
      </w:r>
      <w:r>
        <w:t>DO samostatně jištěná</w:t>
      </w:r>
      <w:r w:rsidR="00711FF7">
        <w:t xml:space="preserve"> – 2x přívod</w:t>
      </w:r>
    </w:p>
    <w:p w14:paraId="3CACB3E1" w14:textId="086C4B4F" w:rsidR="00711FF7" w:rsidRDefault="00711FF7" w:rsidP="0044420E">
      <w:pPr>
        <w:ind w:left="567"/>
      </w:pPr>
      <w:r>
        <w:t xml:space="preserve">- 1 x přívod z DO pro zdvih </w:t>
      </w:r>
    </w:p>
    <w:p w14:paraId="1AB8E548" w14:textId="282D824B" w:rsidR="0044420E" w:rsidRDefault="0044420E" w:rsidP="0044420E">
      <w:pPr>
        <w:ind w:left="567"/>
      </w:pPr>
      <w:r>
        <w:t xml:space="preserve">- </w:t>
      </w:r>
      <w:r w:rsidR="00711FF7">
        <w:t>24</w:t>
      </w:r>
      <w:r>
        <w:t xml:space="preserve"> x zásuvka ochranného pospojování</w:t>
      </w:r>
    </w:p>
    <w:p w14:paraId="4240BE84" w14:textId="44D5DF1A" w:rsidR="0044420E" w:rsidRDefault="0044420E" w:rsidP="0044420E">
      <w:pPr>
        <w:ind w:left="567"/>
      </w:pPr>
      <w:r>
        <w:t xml:space="preserve">- 6 x vývod datové sítě RJ45 </w:t>
      </w:r>
      <w:r w:rsidR="00711FF7">
        <w:t>cat.6a</w:t>
      </w:r>
    </w:p>
    <w:p w14:paraId="285A1164" w14:textId="35E9BC3A" w:rsidR="00711FF7" w:rsidRDefault="00711FF7" w:rsidP="0044420E">
      <w:pPr>
        <w:ind w:left="567"/>
      </w:pPr>
      <w:r>
        <w:t>- 1 x USB-A</w:t>
      </w:r>
    </w:p>
    <w:p w14:paraId="6F5E6444" w14:textId="21112594" w:rsidR="00711FF7" w:rsidRDefault="00711FF7" w:rsidP="00711FF7">
      <w:pPr>
        <w:ind w:left="567"/>
      </w:pPr>
      <w:r>
        <w:t>- 1 x USB-C</w:t>
      </w:r>
    </w:p>
    <w:p w14:paraId="48D9B31B" w14:textId="2A88089D" w:rsidR="0044420E" w:rsidRDefault="0044420E" w:rsidP="0044420E">
      <w:pPr>
        <w:ind w:left="567"/>
      </w:pPr>
      <w:r>
        <w:t xml:space="preserve">- </w:t>
      </w:r>
      <w:r w:rsidR="00711FF7">
        <w:t xml:space="preserve">příprava pro </w:t>
      </w:r>
      <w:r>
        <w:t>dorozumívací zařízení pacient - sestra</w:t>
      </w:r>
    </w:p>
    <w:p w14:paraId="0FD86930" w14:textId="77777777" w:rsidR="0044420E" w:rsidRDefault="0044420E" w:rsidP="0044420E">
      <w:pPr>
        <w:ind w:left="567"/>
      </w:pPr>
      <w:r>
        <w:t>- přívod pro přímé osvětlení  - ovládané z mostu</w:t>
      </w:r>
    </w:p>
    <w:p w14:paraId="7C480138" w14:textId="52BA445B" w:rsidR="0044420E" w:rsidRDefault="00673307" w:rsidP="0044420E">
      <w:pPr>
        <w:ind w:left="567"/>
      </w:pPr>
      <w:r>
        <w:t>- přívod pro nepřímé osvětlení - ovládané z mostu</w:t>
      </w:r>
    </w:p>
    <w:p w14:paraId="181437B9" w14:textId="11B443CF" w:rsidR="00673307" w:rsidRDefault="00673307" w:rsidP="00673307">
      <w:pPr>
        <w:ind w:left="567"/>
      </w:pPr>
      <w:r>
        <w:t>- přívod pro noční osvětlení - ovládané od dveří</w:t>
      </w:r>
    </w:p>
    <w:p w14:paraId="17979E56" w14:textId="77777777" w:rsidR="00673307" w:rsidRDefault="00673307" w:rsidP="0044420E">
      <w:pPr>
        <w:ind w:left="567"/>
      </w:pPr>
    </w:p>
    <w:p w14:paraId="2F7B3001" w14:textId="77777777" w:rsidR="00512BE1" w:rsidRDefault="00512BE1" w:rsidP="0044420E">
      <w:pPr>
        <w:ind w:left="567"/>
      </w:pPr>
    </w:p>
    <w:p w14:paraId="7163B6AE" w14:textId="77777777" w:rsidR="0044420E" w:rsidRDefault="0044420E" w:rsidP="0044420E">
      <w:pPr>
        <w:ind w:left="567"/>
      </w:pPr>
      <w:r>
        <w:lastRenderedPageBreak/>
        <w:t>- 2 x medicinální kyslík</w:t>
      </w:r>
    </w:p>
    <w:p w14:paraId="19641C70" w14:textId="77777777" w:rsidR="0044420E" w:rsidRDefault="0044420E" w:rsidP="0044420E">
      <w:pPr>
        <w:ind w:left="567"/>
      </w:pPr>
      <w:r>
        <w:t>- 2 x stlačený vzduch</w:t>
      </w:r>
    </w:p>
    <w:p w14:paraId="30A3A578" w14:textId="77777777" w:rsidR="0044420E" w:rsidRDefault="0044420E" w:rsidP="0044420E">
      <w:pPr>
        <w:ind w:left="567"/>
      </w:pPr>
      <w:r>
        <w:t>- 2 x vakuum</w:t>
      </w:r>
    </w:p>
    <w:p w14:paraId="4F09F2B7" w14:textId="1BDACBC8" w:rsidR="004C70D7" w:rsidRDefault="004C70D7" w:rsidP="0044420E">
      <w:pPr>
        <w:ind w:left="567"/>
      </w:pPr>
      <w:r>
        <w:t>- 1 x AGSS</w:t>
      </w:r>
    </w:p>
    <w:p w14:paraId="110FA997" w14:textId="77777777" w:rsidR="0044420E" w:rsidRDefault="0044420E" w:rsidP="0044420E">
      <w:pPr>
        <w:ind w:left="567"/>
      </w:pPr>
    </w:p>
    <w:p w14:paraId="20E9B3CA" w14:textId="44964D44" w:rsidR="0044420E" w:rsidRDefault="0044420E" w:rsidP="0044420E">
      <w:pPr>
        <w:ind w:left="567"/>
      </w:pPr>
      <w:r>
        <w:t xml:space="preserve">- ložiskový pojezd, nerezová police </w:t>
      </w:r>
      <w:r w:rsidR="004C70D7">
        <w:t xml:space="preserve">s </w:t>
      </w:r>
      <w:proofErr w:type="spellStart"/>
      <w:r w:rsidR="004C70D7">
        <w:t>medilištou</w:t>
      </w:r>
      <w:proofErr w:type="spellEnd"/>
      <w:r>
        <w:t xml:space="preserve">, </w:t>
      </w:r>
      <w:r w:rsidR="004C70D7">
        <w:t>nerezová police se zásuvkou</w:t>
      </w:r>
    </w:p>
    <w:p w14:paraId="40A30D1F" w14:textId="77777777" w:rsidR="0044420E" w:rsidRDefault="0044420E" w:rsidP="0044420E">
      <w:pPr>
        <w:ind w:left="567"/>
      </w:pPr>
      <w:r>
        <w:t xml:space="preserve">- </w:t>
      </w:r>
      <w:proofErr w:type="spellStart"/>
      <w:r>
        <w:t>medilišta</w:t>
      </w:r>
      <w:proofErr w:type="spellEnd"/>
    </w:p>
    <w:p w14:paraId="5C881341" w14:textId="1DE78C10" w:rsidR="0044420E" w:rsidRDefault="0044420E" w:rsidP="0044420E">
      <w:pPr>
        <w:ind w:left="567"/>
      </w:pPr>
      <w:r>
        <w:t xml:space="preserve">- </w:t>
      </w:r>
      <w:r w:rsidR="004C70D7">
        <w:t xml:space="preserve">2x </w:t>
      </w:r>
      <w:r>
        <w:t xml:space="preserve">držák infuzí kombi </w:t>
      </w:r>
      <w:r w:rsidR="004C70D7">
        <w:t xml:space="preserve">na ramínku 500 mm na tyči </w:t>
      </w:r>
      <w:proofErr w:type="spellStart"/>
      <w:r w:rsidR="004C70D7">
        <w:t>pr</w:t>
      </w:r>
      <w:proofErr w:type="spellEnd"/>
      <w:r w:rsidR="004C70D7">
        <w:t>. 22 x 1000 mm</w:t>
      </w:r>
    </w:p>
    <w:p w14:paraId="0DE60FE5" w14:textId="7017F55E" w:rsidR="004C70D7" w:rsidRDefault="004C70D7" w:rsidP="0044420E">
      <w:pPr>
        <w:ind w:left="567"/>
      </w:pPr>
      <w:r>
        <w:t xml:space="preserve">- držák infuzní techniky na ramínku 500 + 500 na tyči </w:t>
      </w:r>
      <w:proofErr w:type="spellStart"/>
      <w:r>
        <w:t>pr</w:t>
      </w:r>
      <w:proofErr w:type="spellEnd"/>
      <w:r>
        <w:t>. 28 x 1200 mm</w:t>
      </w:r>
    </w:p>
    <w:p w14:paraId="0897A945" w14:textId="1F6FD737" w:rsidR="004C70D7" w:rsidRPr="004C70D7" w:rsidRDefault="004C70D7" w:rsidP="004C70D7">
      <w:pPr>
        <w:ind w:left="567"/>
      </w:pPr>
      <w:r>
        <w:t>- v</w:t>
      </w:r>
      <w:r w:rsidRPr="004C70D7">
        <w:t>yšetřovací LED lampa 6W</w:t>
      </w:r>
    </w:p>
    <w:p w14:paraId="14539CB8" w14:textId="5A3396E4" w:rsidR="004C70D7" w:rsidRDefault="004C70D7" w:rsidP="004C70D7">
      <w:pPr>
        <w:ind w:left="567"/>
      </w:pPr>
      <w:r>
        <w:t>- o</w:t>
      </w:r>
      <w:r w:rsidRPr="004C70D7">
        <w:t>rganizér kabelů na tyč</w:t>
      </w:r>
    </w:p>
    <w:p w14:paraId="4AAC8DCA" w14:textId="145FDEC8" w:rsidR="004C70D7" w:rsidRDefault="004C70D7" w:rsidP="004C70D7">
      <w:pPr>
        <w:ind w:left="567"/>
      </w:pPr>
      <w:r>
        <w:t xml:space="preserve">- </w:t>
      </w:r>
      <w:r w:rsidRPr="004C70D7">
        <w:t>1x teleskop</w:t>
      </w:r>
    </w:p>
    <w:p w14:paraId="190D9D9F" w14:textId="77777777" w:rsidR="0044420E" w:rsidRDefault="0044420E" w:rsidP="0044420E">
      <w:pPr>
        <w:ind w:left="567"/>
      </w:pPr>
    </w:p>
    <w:p w14:paraId="129BDDB9" w14:textId="77777777" w:rsidR="00B1570C" w:rsidRDefault="0044420E" w:rsidP="0044420E">
      <w:pPr>
        <w:rPr>
          <w:b/>
        </w:rPr>
      </w:pPr>
      <w:r>
        <w:rPr>
          <w:b/>
        </w:rPr>
        <w:t xml:space="preserve">Nástěnná rampa </w:t>
      </w:r>
      <w:r w:rsidR="00B1570C">
        <w:rPr>
          <w:b/>
        </w:rPr>
        <w:t>jedno</w:t>
      </w:r>
      <w:r>
        <w:rPr>
          <w:b/>
        </w:rPr>
        <w:t>lůžková</w:t>
      </w:r>
      <w:r w:rsidRPr="00E74ACA">
        <w:rPr>
          <w:b/>
        </w:rPr>
        <w:t xml:space="preserve"> </w:t>
      </w:r>
    </w:p>
    <w:p w14:paraId="3A64A61E" w14:textId="71330B36" w:rsidR="0044420E" w:rsidRPr="00E74ACA" w:rsidRDefault="00B1570C" w:rsidP="0044420E">
      <w:pPr>
        <w:rPr>
          <w:b/>
        </w:rPr>
      </w:pPr>
      <w:r>
        <w:rPr>
          <w:b/>
        </w:rPr>
        <w:t>NR-U3 - 2</w:t>
      </w:r>
      <w:r w:rsidR="0044420E" w:rsidRPr="00E74ACA">
        <w:rPr>
          <w:b/>
        </w:rPr>
        <w:t>ks</w:t>
      </w:r>
    </w:p>
    <w:p w14:paraId="2649403C" w14:textId="3308DF24" w:rsidR="00B1570C" w:rsidRDefault="00B1570C" w:rsidP="00B1570C">
      <w:pPr>
        <w:ind w:left="567"/>
      </w:pPr>
      <w:r>
        <w:t>- 8 x el. zásuvka VDO (záloha UPS + ZIS) – 2x přívod</w:t>
      </w:r>
    </w:p>
    <w:p w14:paraId="633202E1" w14:textId="25932690" w:rsidR="00B1570C" w:rsidRDefault="00B1570C" w:rsidP="00B1570C">
      <w:pPr>
        <w:ind w:left="567"/>
      </w:pPr>
      <w:r>
        <w:t>- 8 x el. zásuvka ZIS (záloha dieselagregát + ZIS)</w:t>
      </w:r>
      <w:r w:rsidRPr="00711FF7">
        <w:t xml:space="preserve"> </w:t>
      </w:r>
      <w:r>
        <w:t>– 2x přívod</w:t>
      </w:r>
    </w:p>
    <w:p w14:paraId="0C263001" w14:textId="333C2458" w:rsidR="0044420E" w:rsidRDefault="0044420E" w:rsidP="0044420E">
      <w:pPr>
        <w:ind w:left="567"/>
      </w:pPr>
      <w:r>
        <w:t xml:space="preserve">- </w:t>
      </w:r>
      <w:r w:rsidR="00B1570C">
        <w:t>16</w:t>
      </w:r>
      <w:r>
        <w:t xml:space="preserve"> x zásuvka ochranného pospojování</w:t>
      </w:r>
    </w:p>
    <w:p w14:paraId="300C433F" w14:textId="3E31CCCB" w:rsidR="0044420E" w:rsidRDefault="0044420E" w:rsidP="0044420E">
      <w:pPr>
        <w:ind w:left="567"/>
      </w:pPr>
      <w:r>
        <w:t xml:space="preserve">- </w:t>
      </w:r>
      <w:r w:rsidR="00B1570C">
        <w:t>4</w:t>
      </w:r>
      <w:r>
        <w:t xml:space="preserve"> x vývod datové sítě RJ45</w:t>
      </w:r>
      <w:r w:rsidR="00B1570C">
        <w:t xml:space="preserve"> cat.6a</w:t>
      </w:r>
    </w:p>
    <w:p w14:paraId="51973D20" w14:textId="77777777" w:rsidR="00B1570C" w:rsidRDefault="00B1570C" w:rsidP="00B1570C">
      <w:pPr>
        <w:ind w:left="567"/>
      </w:pPr>
      <w:r>
        <w:t>- 1 x USB-A</w:t>
      </w:r>
    </w:p>
    <w:p w14:paraId="3210CB8B" w14:textId="77777777" w:rsidR="00B1570C" w:rsidRDefault="00B1570C" w:rsidP="00B1570C">
      <w:pPr>
        <w:ind w:left="567"/>
      </w:pPr>
      <w:r>
        <w:t>- 1 x USB-C</w:t>
      </w:r>
    </w:p>
    <w:p w14:paraId="1E836193" w14:textId="77777777" w:rsidR="00B1570C" w:rsidRDefault="00B1570C" w:rsidP="00B1570C">
      <w:pPr>
        <w:ind w:left="567"/>
      </w:pPr>
      <w:r>
        <w:t>- příprava pro dorozumívací zařízení pacient - sestra</w:t>
      </w:r>
    </w:p>
    <w:p w14:paraId="7D85D5A4" w14:textId="77777777" w:rsidR="00B1570C" w:rsidRDefault="00B1570C" w:rsidP="00B1570C">
      <w:pPr>
        <w:ind w:left="567"/>
      </w:pPr>
      <w:r>
        <w:t>- přívod pro přímé osvětlení  - ovládané z mostu</w:t>
      </w:r>
    </w:p>
    <w:p w14:paraId="1261E56C" w14:textId="77777777" w:rsidR="00B1570C" w:rsidRDefault="00B1570C" w:rsidP="00B1570C">
      <w:pPr>
        <w:ind w:left="567"/>
      </w:pPr>
      <w:r>
        <w:t>- přívod pro nepřímé osvětlení - ovládané z mostu</w:t>
      </w:r>
    </w:p>
    <w:p w14:paraId="50AB28FD" w14:textId="77777777" w:rsidR="00B1570C" w:rsidRDefault="00B1570C" w:rsidP="00B1570C">
      <w:pPr>
        <w:ind w:left="567"/>
      </w:pPr>
      <w:r>
        <w:t>- přívod pro noční osvětlení - ovládané od dveří</w:t>
      </w:r>
    </w:p>
    <w:p w14:paraId="42F13548" w14:textId="77777777" w:rsidR="0044420E" w:rsidRDefault="0044420E" w:rsidP="0044420E">
      <w:pPr>
        <w:ind w:left="567"/>
      </w:pPr>
    </w:p>
    <w:p w14:paraId="00275E0B" w14:textId="77777777" w:rsidR="00B1570C" w:rsidRDefault="00B1570C" w:rsidP="00B1570C">
      <w:pPr>
        <w:ind w:left="567"/>
      </w:pPr>
      <w:r>
        <w:t>- 2 x medicinální kyslík</w:t>
      </w:r>
    </w:p>
    <w:p w14:paraId="014F6D0B" w14:textId="77777777" w:rsidR="00B1570C" w:rsidRDefault="00B1570C" w:rsidP="00B1570C">
      <w:pPr>
        <w:ind w:left="567"/>
      </w:pPr>
      <w:r>
        <w:t>- 2 x stlačený vzduch</w:t>
      </w:r>
    </w:p>
    <w:p w14:paraId="5F16F671" w14:textId="77777777" w:rsidR="00B1570C" w:rsidRDefault="00B1570C" w:rsidP="00B1570C">
      <w:pPr>
        <w:ind w:left="567"/>
      </w:pPr>
      <w:r>
        <w:t>- 2 x vakuum</w:t>
      </w:r>
    </w:p>
    <w:p w14:paraId="0EF94527" w14:textId="77777777" w:rsidR="00B1570C" w:rsidRDefault="00B1570C" w:rsidP="00B1570C">
      <w:pPr>
        <w:ind w:left="567"/>
      </w:pPr>
      <w:r>
        <w:t>- 1 x AGSS</w:t>
      </w:r>
    </w:p>
    <w:p w14:paraId="2E8BF31B" w14:textId="77777777" w:rsidR="00B1570C" w:rsidRDefault="00B1570C" w:rsidP="00B1570C">
      <w:pPr>
        <w:ind w:left="567"/>
      </w:pPr>
    </w:p>
    <w:p w14:paraId="58CB641A" w14:textId="77777777" w:rsidR="00B1570C" w:rsidRDefault="00B1570C" w:rsidP="00B1570C">
      <w:pPr>
        <w:ind w:left="567"/>
      </w:pPr>
      <w:r>
        <w:t xml:space="preserve">- 2x držák infuzí kombi na ramínku 500 mm na tyči </w:t>
      </w:r>
      <w:proofErr w:type="spellStart"/>
      <w:r>
        <w:t>pr</w:t>
      </w:r>
      <w:proofErr w:type="spellEnd"/>
      <w:r>
        <w:t>. 22 x 1000 mm</w:t>
      </w:r>
    </w:p>
    <w:p w14:paraId="4C034B70" w14:textId="2C418F86" w:rsidR="004C5DBF" w:rsidRDefault="00B1570C" w:rsidP="00B1570C">
      <w:pPr>
        <w:ind w:left="567"/>
      </w:pPr>
      <w:r>
        <w:t xml:space="preserve">- nerezová police na </w:t>
      </w:r>
      <w:proofErr w:type="spellStart"/>
      <w:r>
        <w:t>medilištu</w:t>
      </w:r>
      <w:proofErr w:type="spellEnd"/>
    </w:p>
    <w:p w14:paraId="39CD8F4A" w14:textId="1DFED7A9" w:rsidR="00B1570C" w:rsidRDefault="00B1570C" w:rsidP="00B1570C">
      <w:pPr>
        <w:ind w:left="567"/>
      </w:pPr>
      <w:r>
        <w:t>- o</w:t>
      </w:r>
      <w:r w:rsidRPr="004C70D7">
        <w:t>rganizér kabelů na tyč</w:t>
      </w:r>
    </w:p>
    <w:p w14:paraId="3AD355BB" w14:textId="66956DD9" w:rsidR="00B1570C" w:rsidRDefault="00B1570C" w:rsidP="00B1570C">
      <w:pPr>
        <w:ind w:left="567"/>
      </w:pPr>
      <w:r>
        <w:t xml:space="preserve">- držák monitoru „VESA“ na </w:t>
      </w:r>
      <w:proofErr w:type="spellStart"/>
      <w:r>
        <w:t>medilištu</w:t>
      </w:r>
      <w:proofErr w:type="spellEnd"/>
    </w:p>
    <w:p w14:paraId="476DD6AA" w14:textId="77777777" w:rsidR="0031603C" w:rsidRDefault="0031603C" w:rsidP="00B1570C">
      <w:pPr>
        <w:ind w:left="567"/>
      </w:pPr>
    </w:p>
    <w:p w14:paraId="1574900E" w14:textId="77777777" w:rsidR="00B25372" w:rsidRPr="00E74ACA" w:rsidRDefault="00B25372" w:rsidP="00B25372">
      <w:pPr>
        <w:rPr>
          <w:b/>
        </w:rPr>
      </w:pPr>
      <w:bookmarkStart w:id="179" w:name="_Toc268865881"/>
      <w:bookmarkStart w:id="180" w:name="_Toc268865946"/>
      <w:bookmarkStart w:id="181" w:name="_Toc268866071"/>
      <w:bookmarkStart w:id="182" w:name="_Toc268866098"/>
      <w:bookmarkStart w:id="183" w:name="_Toc268866302"/>
      <w:bookmarkStart w:id="184" w:name="_Toc268866351"/>
      <w:bookmarkStart w:id="185" w:name="_Toc268866421"/>
      <w:bookmarkStart w:id="186" w:name="_Toc268866558"/>
      <w:bookmarkStart w:id="187" w:name="_Toc268866577"/>
      <w:bookmarkStart w:id="188" w:name="_Toc268866679"/>
      <w:bookmarkStart w:id="189" w:name="_Toc268867508"/>
      <w:bookmarkStart w:id="190" w:name="_Toc268867658"/>
      <w:bookmarkStart w:id="191" w:name="_Toc269383574"/>
      <w:bookmarkStart w:id="192" w:name="_Toc269383816"/>
      <w:bookmarkStart w:id="193" w:name="_Toc269384078"/>
      <w:bookmarkStart w:id="194" w:name="_Toc269384128"/>
      <w:r>
        <w:rPr>
          <w:b/>
        </w:rPr>
        <w:t>Vyšetřovací svítidlo</w:t>
      </w:r>
    </w:p>
    <w:p w14:paraId="33C732E4" w14:textId="77777777" w:rsidR="00B25372" w:rsidRDefault="00B25372" w:rsidP="00B25372">
      <w:pPr>
        <w:ind w:left="567"/>
      </w:pPr>
      <w:r>
        <w:t xml:space="preserve">- Elektrické připojení prostřednictvím univerzálního zdroje* </w:t>
      </w:r>
      <w:r>
        <w:tab/>
        <w:t>100-240 V AC / 50-60 Hz</w:t>
      </w:r>
    </w:p>
    <w:p w14:paraId="7BF82B71" w14:textId="77777777" w:rsidR="00B25372" w:rsidRDefault="00B25372" w:rsidP="00B25372">
      <w:pPr>
        <w:ind w:left="567"/>
      </w:pPr>
      <w:r>
        <w:t xml:space="preserve">- Teplota chromatičnosti </w:t>
      </w:r>
      <w:r>
        <w:tab/>
      </w:r>
      <w:r>
        <w:tab/>
      </w:r>
      <w:r>
        <w:tab/>
      </w:r>
      <w:r>
        <w:tab/>
      </w:r>
      <w:r>
        <w:tab/>
      </w:r>
      <w:r>
        <w:tab/>
        <w:t>4 300 K</w:t>
      </w:r>
    </w:p>
    <w:p w14:paraId="7AA78D5A" w14:textId="77777777" w:rsidR="00B25372" w:rsidRDefault="00B25372" w:rsidP="00B25372">
      <w:pPr>
        <w:ind w:left="567"/>
      </w:pPr>
      <w:r>
        <w:t xml:space="preserve">- Centrální intenzita osvětlení ve vzdálenosti 1 m </w:t>
      </w:r>
      <w:r>
        <w:tab/>
      </w:r>
      <w:r>
        <w:tab/>
      </w:r>
      <w:r>
        <w:tab/>
        <w:t xml:space="preserve">100 000 </w:t>
      </w:r>
      <w:proofErr w:type="spellStart"/>
      <w:r>
        <w:t>lx</w:t>
      </w:r>
      <w:proofErr w:type="spellEnd"/>
    </w:p>
    <w:p w14:paraId="08E6A6EA" w14:textId="77777777" w:rsidR="00B25372" w:rsidRDefault="00B25372" w:rsidP="00B25372">
      <w:pPr>
        <w:ind w:left="567"/>
      </w:pPr>
      <w:r>
        <w:t xml:space="preserve">- Průměr osvětleného pole </w:t>
      </w:r>
      <w:r>
        <w:tab/>
      </w:r>
      <w:r>
        <w:tab/>
      </w:r>
      <w:r>
        <w:tab/>
      </w:r>
      <w:r>
        <w:tab/>
      </w:r>
      <w:r>
        <w:tab/>
      </w:r>
      <w:r>
        <w:tab/>
        <w:t>cca 180 mm</w:t>
      </w:r>
    </w:p>
    <w:p w14:paraId="139E242B" w14:textId="77777777" w:rsidR="00B25372" w:rsidRDefault="00B25372" w:rsidP="00B25372">
      <w:pPr>
        <w:ind w:left="567"/>
      </w:pPr>
      <w:r>
        <w:t xml:space="preserve">- Index podání barev </w:t>
      </w:r>
      <w:proofErr w:type="spellStart"/>
      <w:proofErr w:type="gramStart"/>
      <w:r>
        <w:t>Ra</w:t>
      </w:r>
      <w:proofErr w:type="spellEnd"/>
      <w:r w:rsidRPr="00256C9D">
        <w:rPr>
          <w:vertAlign w:val="subscript"/>
        </w:rPr>
        <w:t>(</w:t>
      </w:r>
      <w:proofErr w:type="gramEnd"/>
      <w:r w:rsidRPr="00256C9D">
        <w:rPr>
          <w:vertAlign w:val="subscript"/>
        </w:rPr>
        <w:t xml:space="preserve">1-8) </w:t>
      </w:r>
      <w:r w:rsidRPr="00256C9D">
        <w:rPr>
          <w:vertAlign w:val="subscript"/>
        </w:rPr>
        <w:tab/>
      </w:r>
      <w:r>
        <w:tab/>
      </w:r>
      <w:r>
        <w:tab/>
      </w:r>
      <w:r>
        <w:tab/>
      </w:r>
      <w:r>
        <w:tab/>
      </w:r>
      <w:r>
        <w:tab/>
        <w:t>99</w:t>
      </w:r>
    </w:p>
    <w:p w14:paraId="34DE5233" w14:textId="77777777" w:rsidR="00B25372" w:rsidRDefault="00B25372" w:rsidP="00B25372">
      <w:pPr>
        <w:ind w:left="567"/>
      </w:pPr>
      <w:r>
        <w:t>- Pracovní rozsah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920 – 1645</w:t>
      </w:r>
      <w:proofErr w:type="gramEnd"/>
      <w:r>
        <w:t xml:space="preserve"> mm</w:t>
      </w:r>
    </w:p>
    <w:p w14:paraId="50043A6E" w14:textId="77777777" w:rsidR="00B25372" w:rsidRDefault="00B25372" w:rsidP="00B25372">
      <w:pPr>
        <w:ind w:left="567"/>
      </w:pPr>
      <w:r>
        <w:t xml:space="preserve">- Jmenovitý příkon světelných zdrojů </w:t>
      </w:r>
      <w:r>
        <w:tab/>
      </w:r>
      <w:r>
        <w:tab/>
      </w:r>
      <w:r>
        <w:tab/>
      </w:r>
      <w:r>
        <w:tab/>
      </w:r>
      <w:r>
        <w:tab/>
        <w:t>3 x 5 W</w:t>
      </w:r>
    </w:p>
    <w:p w14:paraId="4D4267E0" w14:textId="77777777" w:rsidR="00B25372" w:rsidRDefault="00B25372" w:rsidP="00B25372">
      <w:pPr>
        <w:ind w:left="567"/>
      </w:pPr>
      <w:r>
        <w:t xml:space="preserve">- Průměrná životnost světelných zdrojů </w:t>
      </w:r>
      <w:r>
        <w:tab/>
      </w:r>
      <w:r>
        <w:tab/>
      </w:r>
      <w:r>
        <w:tab/>
      </w:r>
      <w:r>
        <w:tab/>
        <w:t>&gt; 60.000 h</w:t>
      </w:r>
    </w:p>
    <w:p w14:paraId="6ED6F4EC" w14:textId="77777777" w:rsidR="00CC4B48" w:rsidRPr="004C5DBF" w:rsidRDefault="006D5EBE" w:rsidP="00CC4B48">
      <w:pPr>
        <w:pStyle w:val="Nadpis1"/>
      </w:pPr>
      <w:bookmarkStart w:id="195" w:name="_Toc184128388"/>
      <w:r w:rsidRPr="004C5DBF">
        <w:lastRenderedPageBreak/>
        <w:t>S</w:t>
      </w:r>
      <w:r w:rsidR="00CC4B48" w:rsidRPr="004C5DBF">
        <w:t>ign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4C5DBF">
        <w:t>alizace tlaku plynů</w:t>
      </w:r>
      <w:bookmarkEnd w:id="195"/>
    </w:p>
    <w:p w14:paraId="477EFDE4" w14:textId="77777777" w:rsidR="00CC4B48" w:rsidRPr="00095375" w:rsidRDefault="00CC4B48" w:rsidP="00CC4B48">
      <w:pPr>
        <w:pStyle w:val="Nadpis2"/>
      </w:pPr>
      <w:bookmarkStart w:id="196" w:name="_Toc269383817"/>
      <w:bookmarkStart w:id="197" w:name="_Toc269384079"/>
      <w:bookmarkStart w:id="198" w:name="_Toc269384129"/>
      <w:bookmarkStart w:id="199" w:name="_Toc184128389"/>
      <w:r w:rsidRPr="00095375">
        <w:t>Klinická signalizace</w:t>
      </w:r>
      <w:bookmarkEnd w:id="196"/>
      <w:bookmarkEnd w:id="197"/>
      <w:bookmarkEnd w:id="198"/>
      <w:bookmarkEnd w:id="199"/>
    </w:p>
    <w:p w14:paraId="6DDEECEA" w14:textId="71472603"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14:paraId="1C33CC17" w14:textId="77777777" w:rsidR="00CC4B48" w:rsidRPr="006F5B37" w:rsidRDefault="00CC4B48" w:rsidP="00CC4B48"/>
    <w:p w14:paraId="0A29443C" w14:textId="0F6FC103" w:rsidR="00CC4B48" w:rsidRPr="00832E1C" w:rsidRDefault="00CC4B48" w:rsidP="00CC4B48">
      <w:r w:rsidRPr="00832E1C">
        <w:t>Klinickou signalizaci tvoří signalizační panely (S</w:t>
      </w:r>
      <w:r w:rsidR="009A57E6" w:rsidRPr="00832E1C">
        <w:t>T</w:t>
      </w:r>
      <w:r w:rsidRPr="00832E1C">
        <w:t>P) umístěné do míst s trvalou obsluhou (místnost–Pracoviště sester), snímače tlaku jsou na potrubním rozvodu v</w:t>
      </w:r>
      <w:r w:rsidR="009A57E6" w:rsidRPr="00832E1C">
        <w:t> krabici UP-</w:t>
      </w:r>
      <w:r w:rsidR="00832E1C" w:rsidRPr="00832E1C">
        <w:t>3</w:t>
      </w:r>
      <w:r w:rsidRPr="00832E1C">
        <w:t>, na každé samostatně uzavíratelné větvi rozvodu medicinálních plynů.</w:t>
      </w:r>
    </w:p>
    <w:p w14:paraId="6C2B55E9" w14:textId="77777777" w:rsidR="00CC4B48" w:rsidRPr="00832E1C" w:rsidRDefault="00CC4B48" w:rsidP="00CC4B48"/>
    <w:p w14:paraId="558BBA9D" w14:textId="018AD124" w:rsidR="00CC4B48" w:rsidRPr="006F5B37" w:rsidRDefault="00CC4B48" w:rsidP="00CC4B48">
      <w:r w:rsidRPr="00832E1C">
        <w:t>Propojení stíněným sdělovacím kabelem (např. SYKFY 2x2x0,5) mezi S</w:t>
      </w:r>
      <w:r w:rsidR="009A57E6" w:rsidRPr="00832E1C">
        <w:t>T</w:t>
      </w:r>
      <w:r w:rsidRPr="00832E1C">
        <w:t xml:space="preserve">P a </w:t>
      </w:r>
      <w:r w:rsidR="009A57E6" w:rsidRPr="00832E1C">
        <w:t>UP</w:t>
      </w:r>
      <w:r w:rsidRPr="00832E1C">
        <w:t xml:space="preserve"> zajišťuje profese</w:t>
      </w:r>
      <w:r w:rsidRPr="006F5B37">
        <w:t xml:space="preserve"> slaboproudu. 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14:paraId="6C82F352" w14:textId="77777777" w:rsidR="00CC4B48" w:rsidRPr="006F5B37" w:rsidRDefault="00CC4B48" w:rsidP="00CC4B48"/>
    <w:p w14:paraId="76BD8C45" w14:textId="77777777" w:rsidR="00CC4B48" w:rsidRPr="006F5B37" w:rsidRDefault="00CC4B48" w:rsidP="00CC4B48">
      <w:r w:rsidRPr="006F5B37">
        <w:t>Pozn.: Umístění čidel a signalizačního panelu je zřejmé z přiložené projektové dokumentace.</w:t>
      </w:r>
    </w:p>
    <w:p w14:paraId="60BB1A17" w14:textId="77777777" w:rsidR="00CC4B48" w:rsidRPr="00095375" w:rsidRDefault="00CC4B48" w:rsidP="00CC4B48">
      <w:pPr>
        <w:pStyle w:val="Nadpis2"/>
      </w:pPr>
      <w:bookmarkStart w:id="200" w:name="_Toc269383818"/>
      <w:bookmarkStart w:id="201" w:name="_Toc269384080"/>
      <w:bookmarkStart w:id="202" w:name="_Toc269384130"/>
      <w:bookmarkStart w:id="203" w:name="_Toc184128390"/>
      <w:r w:rsidRPr="00095375">
        <w:t>Provozní signalizace</w:t>
      </w:r>
      <w:bookmarkEnd w:id="200"/>
      <w:bookmarkEnd w:id="201"/>
      <w:bookmarkEnd w:id="202"/>
      <w:bookmarkEnd w:id="203"/>
    </w:p>
    <w:p w14:paraId="04E4DB45" w14:textId="0A6DDCFA" w:rsidR="00CC4B48" w:rsidRDefault="00CC4B48" w:rsidP="00CC4B48">
      <w:bookmarkStart w:id="204" w:name="_Hlk182916962"/>
      <w:r w:rsidRPr="006F5B37">
        <w:t>Nouzový provozní alarm (provozní signalizace) monitoruje tlak v potrubí za hlavním uzavíracím ventilem</w:t>
      </w:r>
      <w:r w:rsidR="00832E1C">
        <w:t xml:space="preserve"> podlaží</w:t>
      </w:r>
      <w:r w:rsidRPr="006F5B37">
        <w:t>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</w:t>
      </w:r>
      <w:r w:rsidR="0089544D">
        <w:t> </w:t>
      </w:r>
      <w:r w:rsidRPr="006F5B37">
        <w:t xml:space="preserve">absolutní tlak v potrubí pro podtlak </w:t>
      </w:r>
      <w:r w:rsidR="00832E1C">
        <w:t>za</w:t>
      </w:r>
      <w:r w:rsidRPr="006F5B37">
        <w:t xml:space="preserve"> hlavním uzavíracím ventilem</w:t>
      </w:r>
      <w:r w:rsidR="00832E1C">
        <w:t xml:space="preserve"> podlaží</w:t>
      </w:r>
      <w:r w:rsidRPr="006F5B37">
        <w:t>, který vzrostl nad 44 </w:t>
      </w:r>
      <w:proofErr w:type="spellStart"/>
      <w:r w:rsidRPr="006F5B37">
        <w:t>kPa</w:t>
      </w:r>
      <w:proofErr w:type="spellEnd"/>
      <w:r w:rsidRPr="006F5B37">
        <w:t>.</w:t>
      </w:r>
    </w:p>
    <w:p w14:paraId="4CB3B4A9" w14:textId="52922562" w:rsidR="002B32D6" w:rsidRPr="006F5B37" w:rsidRDefault="002B32D6" w:rsidP="00CC4B48">
      <w:r>
        <w:t xml:space="preserve">Panel provozní signalizace by měl být sveden do systému </w:t>
      </w:r>
      <w:proofErr w:type="spellStart"/>
      <w:r>
        <w:t>MaR</w:t>
      </w:r>
      <w:proofErr w:type="spellEnd"/>
      <w:r>
        <w:t xml:space="preserve"> na centrální velín.</w:t>
      </w:r>
    </w:p>
    <w:p w14:paraId="713C5CDD" w14:textId="77777777" w:rsidR="00832E1C" w:rsidRDefault="00832E1C" w:rsidP="00CC4B48">
      <w:pPr>
        <w:rPr>
          <w:highlight w:val="yellow"/>
        </w:rPr>
      </w:pPr>
    </w:p>
    <w:p w14:paraId="429B59B7" w14:textId="48A18E12" w:rsidR="00CC4B48" w:rsidRDefault="002B32D6" w:rsidP="00CC4B48">
      <w:r>
        <w:t xml:space="preserve">Vzhledem k tomu, že současný systém </w:t>
      </w:r>
      <w:proofErr w:type="spellStart"/>
      <w:r>
        <w:t>MaR</w:t>
      </w:r>
      <w:proofErr w:type="spellEnd"/>
      <w:r>
        <w:t xml:space="preserve"> v nemocnici chybí d</w:t>
      </w:r>
      <w:r w:rsidR="00CC4B48" w:rsidRPr="00832E1C">
        <w:t>oporučuji instalaci vyhodnocovacího panelu, jehož konstrukce umožn</w:t>
      </w:r>
      <w:r>
        <w:t>í</w:t>
      </w:r>
      <w:r w:rsidR="00CC4B48" w:rsidRPr="00832E1C">
        <w:t xml:space="preserve"> napojení do </w:t>
      </w:r>
      <w:r>
        <w:t xml:space="preserve">budoucího </w:t>
      </w:r>
      <w:r w:rsidR="00CC4B48" w:rsidRPr="00832E1C">
        <w:t xml:space="preserve">systému </w:t>
      </w:r>
      <w:proofErr w:type="spellStart"/>
      <w:r w:rsidR="00CC4B48" w:rsidRPr="00832E1C">
        <w:t>MaR</w:t>
      </w:r>
      <w:proofErr w:type="spellEnd"/>
      <w:r w:rsidR="00CC4B48" w:rsidRPr="00832E1C">
        <w:t xml:space="preserve"> digitální sítě nemocnice. Toto připojení zajistí provozní organizace v návaznosti na konstrukci jmenované sítě. Vyhodnocení těchto alarmů musí být v místnosti stálé technické obsluhy. V případě že systém </w:t>
      </w:r>
      <w:proofErr w:type="spellStart"/>
      <w:r w:rsidR="00CC4B48" w:rsidRPr="00832E1C">
        <w:t>MaR</w:t>
      </w:r>
      <w:proofErr w:type="spellEnd"/>
      <w:r w:rsidR="00CC4B48" w:rsidRPr="00832E1C">
        <w:t xml:space="preserve"> v současné době nevyhoví těmto podmínkám, musí být provedeno jiné opatření k zajištění bezpečného provozu, tzn. </w:t>
      </w:r>
      <w:r w:rsidR="00832E1C" w:rsidRPr="00832E1C">
        <w:t>panel pro zasílání chybových SMS hlášení</w:t>
      </w:r>
      <w:r w:rsidR="00CC4B48" w:rsidRPr="00832E1C">
        <w:t xml:space="preserve"> technick</w:t>
      </w:r>
      <w:r w:rsidR="00832E1C" w:rsidRPr="00832E1C">
        <w:t>ému</w:t>
      </w:r>
      <w:r w:rsidR="00CC4B48" w:rsidRPr="00832E1C">
        <w:t xml:space="preserve"> personál</w:t>
      </w:r>
      <w:r w:rsidR="00832E1C" w:rsidRPr="00832E1C">
        <w:t>u</w:t>
      </w:r>
      <w:r w:rsidR="00CC4B48" w:rsidRPr="00832E1C">
        <w:t xml:space="preserve"> medicinálních plynů. Toto opatření musí být zpracováno v místním provozním řádu a</w:t>
      </w:r>
      <w:r w:rsidR="00540572" w:rsidRPr="00832E1C">
        <w:t> </w:t>
      </w:r>
      <w:r w:rsidR="00CC4B48" w:rsidRPr="00832E1C">
        <w:t>jmenované kontroly musí být evidovány v provozním deníku.</w:t>
      </w:r>
      <w:r w:rsidR="00CC4B48" w:rsidRPr="006F5B37">
        <w:t xml:space="preserve"> </w:t>
      </w:r>
    </w:p>
    <w:p w14:paraId="01438A74" w14:textId="77777777" w:rsidR="00CC4B48" w:rsidRPr="003644A6" w:rsidRDefault="00CC4B48" w:rsidP="00CC4B48">
      <w:pPr>
        <w:pStyle w:val="Nadpis1"/>
      </w:pPr>
      <w:bookmarkStart w:id="205" w:name="_Toc268865883"/>
      <w:bookmarkStart w:id="206" w:name="_Toc268865948"/>
      <w:bookmarkStart w:id="207" w:name="_Toc268866073"/>
      <w:bookmarkStart w:id="208" w:name="_Toc268866100"/>
      <w:bookmarkStart w:id="209" w:name="_Toc268866304"/>
      <w:bookmarkStart w:id="210" w:name="_Toc268866353"/>
      <w:bookmarkStart w:id="211" w:name="_Toc268866423"/>
      <w:bookmarkStart w:id="212" w:name="_Toc268866560"/>
      <w:bookmarkStart w:id="213" w:name="_Toc268866579"/>
      <w:bookmarkStart w:id="214" w:name="_Toc268866681"/>
      <w:bookmarkStart w:id="215" w:name="_Toc268867510"/>
      <w:bookmarkStart w:id="216" w:name="_Toc268867660"/>
      <w:bookmarkStart w:id="217" w:name="_Toc269383576"/>
      <w:bookmarkStart w:id="218" w:name="_Toc269383820"/>
      <w:bookmarkStart w:id="219" w:name="_Toc269384082"/>
      <w:bookmarkStart w:id="220" w:name="_Toc269384132"/>
      <w:bookmarkStart w:id="221" w:name="_Toc184128391"/>
      <w:bookmarkEnd w:id="204"/>
      <w:r w:rsidRPr="003644A6">
        <w:t>Oprávnění k provádění prací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172342C9" w14:textId="767B5288" w:rsidR="008413CE" w:rsidRDefault="008413CE" w:rsidP="008413CE">
      <w:bookmarkStart w:id="222" w:name="_Toc268865882"/>
      <w:bookmarkStart w:id="223" w:name="_Toc268865947"/>
      <w:bookmarkStart w:id="224" w:name="_Toc268866072"/>
      <w:bookmarkStart w:id="225" w:name="_Toc268866099"/>
      <w:bookmarkStart w:id="226" w:name="_Toc268866303"/>
      <w:bookmarkStart w:id="227" w:name="_Toc268866352"/>
      <w:bookmarkStart w:id="228" w:name="_Toc268866422"/>
      <w:bookmarkStart w:id="229" w:name="_Toc268866559"/>
      <w:bookmarkStart w:id="230" w:name="_Toc268866578"/>
      <w:bookmarkStart w:id="231" w:name="_Toc268866680"/>
      <w:bookmarkStart w:id="232" w:name="_Toc268867509"/>
      <w:bookmarkStart w:id="233" w:name="_Toc268867659"/>
      <w:bookmarkStart w:id="234" w:name="_Toc269383575"/>
      <w:bookmarkStart w:id="235" w:name="_Toc269383819"/>
      <w:bookmarkStart w:id="236" w:name="_Toc269384081"/>
      <w:bookmarkStart w:id="237" w:name="_Toc269384131"/>
      <w:r w:rsidRPr="006F5B37">
        <w:t xml:space="preserve">Práce, montáže a úpravy rozvodů medicinálních plynů mohou provádět pouze organizace s oprávněním TIČR vydaným ve </w:t>
      </w:r>
      <w:r w:rsidRPr="00936DAE">
        <w:t xml:space="preserve">smyslu </w:t>
      </w:r>
      <w:r w:rsidR="00936DAE" w:rsidRPr="00936DAE">
        <w:t>n</w:t>
      </w:r>
      <w:r w:rsidR="0025331A" w:rsidRPr="00936DAE">
        <w:rPr>
          <w:snapToGrid w:val="0"/>
        </w:rPr>
        <w:t>ařízení vlády č. 191/2022 Sb.</w:t>
      </w:r>
      <w:r w:rsidR="00936DAE">
        <w:rPr>
          <w:snapToGrid w:val="0"/>
        </w:rPr>
        <w:t>,</w:t>
      </w:r>
      <w:r w:rsidR="00936DAE">
        <w:t xml:space="preserve"> zák. 250/2021 Sb.</w:t>
      </w:r>
      <w:r w:rsidR="00936DAE" w:rsidRPr="00936DAE">
        <w:t xml:space="preserve"> </w:t>
      </w:r>
      <w:r w:rsidRPr="00936DAE">
        <w:t>a následných</w:t>
      </w:r>
      <w:r w:rsidRPr="006F5B37">
        <w:t xml:space="preserve">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14:paraId="3EC5C6CD" w14:textId="77777777" w:rsidR="008413CE" w:rsidRDefault="008413CE" w:rsidP="008413CE"/>
    <w:p w14:paraId="44688B24" w14:textId="1F1D62DF"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 xml:space="preserve">certifikované firmy dle </w:t>
      </w:r>
      <w:r w:rsidR="0025331A">
        <w:t xml:space="preserve">ČSN EN </w:t>
      </w:r>
      <w:r w:rsidRPr="001D5F11">
        <w:t>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14:paraId="79AEAC02" w14:textId="77777777"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14:paraId="3D09B0F4" w14:textId="77777777" w:rsidR="00CC4B48" w:rsidRDefault="00CC4B48" w:rsidP="00CC4B48">
      <w:pPr>
        <w:pStyle w:val="Nadpis1"/>
      </w:pPr>
      <w:bookmarkStart w:id="238" w:name="_Toc184128392"/>
      <w:r>
        <w:lastRenderedPageBreak/>
        <w:t>Požadavky odborné způsobilosti k obsluze zařízení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37D64D98" w14:textId="2A71D6BE" w:rsidR="00CC4B48" w:rsidRPr="006F5B37" w:rsidRDefault="00CC4B48" w:rsidP="00CC4B48">
      <w:r w:rsidRPr="006F5B37">
        <w:t>Rozvody pro výrobu, skladování a distribuci medicinálních plynů mohou provádět osoby řádně zaškolené dle rozsahu vykonávané činnosti přezkoušené revizním technikem s platným osvědčením.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14:paraId="336B889A" w14:textId="77777777" w:rsidR="00CC4B48" w:rsidRPr="006F5B37" w:rsidRDefault="00CC4B48" w:rsidP="00CC4B48">
      <w:pPr>
        <w:rPr>
          <w:snapToGrid w:val="0"/>
        </w:rPr>
      </w:pPr>
    </w:p>
    <w:p w14:paraId="3F644141" w14:textId="77777777"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14:paraId="04283521" w14:textId="77777777" w:rsidR="00CC4B48" w:rsidRPr="003644A6" w:rsidRDefault="00CC4B48" w:rsidP="00CC4B48">
      <w:pPr>
        <w:pStyle w:val="Nadpis1"/>
      </w:pPr>
      <w:bookmarkStart w:id="239" w:name="_Toc268865884"/>
      <w:bookmarkStart w:id="240" w:name="_Toc268865949"/>
      <w:bookmarkStart w:id="241" w:name="_Toc268866074"/>
      <w:bookmarkStart w:id="242" w:name="_Toc268866101"/>
      <w:bookmarkStart w:id="243" w:name="_Toc268866305"/>
      <w:bookmarkStart w:id="244" w:name="_Toc268866354"/>
      <w:bookmarkStart w:id="245" w:name="_Toc268866424"/>
      <w:bookmarkStart w:id="246" w:name="_Toc268866561"/>
      <w:bookmarkStart w:id="247" w:name="_Toc268866580"/>
      <w:bookmarkStart w:id="248" w:name="_Toc268866682"/>
      <w:bookmarkStart w:id="249" w:name="_Toc268867511"/>
      <w:bookmarkStart w:id="250" w:name="_Toc268867661"/>
      <w:bookmarkStart w:id="251" w:name="_Toc269383577"/>
      <w:bookmarkStart w:id="252" w:name="_Toc269383821"/>
      <w:bookmarkStart w:id="253" w:name="_Toc269384083"/>
      <w:bookmarkStart w:id="254" w:name="_Toc269384133"/>
      <w:bookmarkStart w:id="255" w:name="_Toc184128393"/>
      <w:r w:rsidRPr="003644A6">
        <w:t>Provoz zařízení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158AF6A7" w14:textId="0A58F2D6" w:rsidR="00CC4B48" w:rsidRPr="00936DAE" w:rsidRDefault="00CC4B48" w:rsidP="00CC4B48">
      <w:r w:rsidRPr="00936DAE">
        <w:t xml:space="preserve">Rozvody medicinálních plynů jsou zařazeny dle </w:t>
      </w:r>
      <w:r w:rsidR="00936DAE" w:rsidRPr="00936DAE">
        <w:t>n</w:t>
      </w:r>
      <w:r w:rsidR="00E86259" w:rsidRPr="00936DAE">
        <w:rPr>
          <w:snapToGrid w:val="0"/>
        </w:rPr>
        <w:t xml:space="preserve">ařízení vlády č. 191/2022 Sb. </w:t>
      </w:r>
      <w:r w:rsidRPr="00936DAE">
        <w:t xml:space="preserve">mezi vyhrazená plynová zařízení. Provoz zařízení je podmíněn </w:t>
      </w:r>
      <w:r w:rsidR="00936DAE" w:rsidRPr="00936DAE">
        <w:t>n</w:t>
      </w:r>
      <w:r w:rsidR="00E86259" w:rsidRPr="00936DAE">
        <w:rPr>
          <w:snapToGrid w:val="0"/>
        </w:rPr>
        <w:t>ařízení</w:t>
      </w:r>
      <w:r w:rsidR="00936DAE" w:rsidRPr="00936DAE">
        <w:rPr>
          <w:snapToGrid w:val="0"/>
        </w:rPr>
        <w:t>m</w:t>
      </w:r>
      <w:r w:rsidR="00E86259" w:rsidRPr="00936DAE">
        <w:rPr>
          <w:snapToGrid w:val="0"/>
        </w:rPr>
        <w:t xml:space="preserve"> vlády č. 191/2022 Sb. </w:t>
      </w:r>
      <w:r w:rsidR="00936DAE" w:rsidRPr="00936DAE">
        <w:t>a</w:t>
      </w:r>
      <w:r w:rsidR="00551AC7" w:rsidRPr="00936DAE">
        <w:t xml:space="preserve"> zákonem č. 250/2021 Sb.</w:t>
      </w:r>
    </w:p>
    <w:p w14:paraId="0F2518F9" w14:textId="77777777" w:rsidR="00CC4B48" w:rsidRPr="006F5B37" w:rsidRDefault="00CC4B48" w:rsidP="00CC4B48">
      <w:r w:rsidRPr="00936DAE">
        <w:t>Pro zařízení provozní organizace zpracuje do jednoho měsíce od uvedení zařízení do provozu Provozní řád dle ČSN 38</w:t>
      </w:r>
      <w:r w:rsidR="00B833D7" w:rsidRPr="00936DAE">
        <w:t xml:space="preserve"> </w:t>
      </w:r>
      <w:r w:rsidRPr="00936DAE">
        <w:t>6405</w:t>
      </w:r>
      <w:r w:rsidR="005362D3" w:rsidRPr="00936DAE">
        <w:t>.</w:t>
      </w:r>
      <w:r w:rsidRPr="00936DAE">
        <w:t xml:space="preserve"> Za odbornou způsobilost a vypracování místního provozního řádu zodpovídá</w:t>
      </w:r>
      <w:r w:rsidRPr="006F5B37">
        <w:t xml:space="preserve"> provozovatel rozvodu!</w:t>
      </w:r>
    </w:p>
    <w:p w14:paraId="1D3BB3B1" w14:textId="77777777" w:rsidR="00CC4B48" w:rsidRPr="005E1B35" w:rsidRDefault="00CC4B48" w:rsidP="00CC4B48">
      <w:pPr>
        <w:pStyle w:val="Nadpis1"/>
      </w:pPr>
      <w:bookmarkStart w:id="256" w:name="_Toc268865885"/>
      <w:bookmarkStart w:id="257" w:name="_Toc268865950"/>
      <w:bookmarkStart w:id="258" w:name="_Toc268866075"/>
      <w:bookmarkStart w:id="259" w:name="_Toc268866102"/>
      <w:bookmarkStart w:id="260" w:name="_Toc268866306"/>
      <w:bookmarkStart w:id="261" w:name="_Toc268866355"/>
      <w:bookmarkStart w:id="262" w:name="_Toc268866425"/>
      <w:bookmarkStart w:id="263" w:name="_Toc268866562"/>
      <w:bookmarkStart w:id="264" w:name="_Toc268866581"/>
      <w:bookmarkStart w:id="265" w:name="_Toc268866683"/>
      <w:bookmarkStart w:id="266" w:name="_Toc268867512"/>
      <w:bookmarkStart w:id="267" w:name="_Toc268867662"/>
      <w:bookmarkStart w:id="268" w:name="_Toc269383578"/>
      <w:bookmarkStart w:id="269" w:name="_Toc269383822"/>
      <w:bookmarkStart w:id="270" w:name="_Toc269384084"/>
      <w:bookmarkStart w:id="271" w:name="_Toc269384134"/>
      <w:bookmarkStart w:id="272" w:name="_Toc184128394"/>
      <w:r w:rsidRPr="005E1B35">
        <w:t>Informace k řízení provozu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16695FBA" w14:textId="77777777"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14:paraId="638A0E8D" w14:textId="77777777" w:rsidR="00CC4B48" w:rsidRPr="006F5B37" w:rsidRDefault="00CC4B48" w:rsidP="00CC4B48"/>
    <w:p w14:paraId="425D28F7" w14:textId="77777777" w:rsidR="00CC4B48" w:rsidRPr="00D85E8E" w:rsidRDefault="00CC4B48" w:rsidP="00CC4B48"/>
    <w:p w14:paraId="0AF95B3C" w14:textId="77777777" w:rsidR="00CC4B48" w:rsidRPr="00D85E8E" w:rsidRDefault="00CC4B48" w:rsidP="00CC4B48"/>
    <w:p w14:paraId="1B2DB58F" w14:textId="77777777" w:rsidR="00CC4B48" w:rsidRDefault="00CC4B48" w:rsidP="00CC4B48"/>
    <w:p w14:paraId="637574E9" w14:textId="77777777" w:rsidR="00512BE1" w:rsidRPr="00D85E8E" w:rsidRDefault="00512BE1" w:rsidP="00CC4B48"/>
    <w:p w14:paraId="439B0198" w14:textId="77777777" w:rsidR="00CC4B48" w:rsidRPr="00D85E8E" w:rsidRDefault="00CC4B48" w:rsidP="00CC4B48"/>
    <w:p w14:paraId="2C990B79" w14:textId="7F3206BE" w:rsidR="00CC4B48" w:rsidRPr="00D85E8E" w:rsidRDefault="00CC4B48" w:rsidP="00CC4B48">
      <w:pPr>
        <w:jc w:val="left"/>
        <w:rPr>
          <w:snapToGrid w:val="0"/>
        </w:rPr>
      </w:pPr>
      <w:r w:rsidRPr="00D85E8E">
        <w:rPr>
          <w:snapToGrid w:val="0"/>
        </w:rPr>
        <w:t xml:space="preserve">V Poličce, </w:t>
      </w:r>
      <w:r w:rsidR="002B32D6">
        <w:rPr>
          <w:snapToGrid w:val="0"/>
        </w:rPr>
        <w:t>listopad</w:t>
      </w:r>
      <w:r w:rsidRPr="00D85E8E">
        <w:rPr>
          <w:snapToGrid w:val="0"/>
        </w:rPr>
        <w:t xml:space="preserve"> 20</w:t>
      </w:r>
      <w:r w:rsidR="005519A8" w:rsidRPr="00D85E8E">
        <w:rPr>
          <w:snapToGrid w:val="0"/>
        </w:rPr>
        <w:t>2</w:t>
      </w:r>
      <w:r w:rsidR="00D85E8E" w:rsidRPr="00D85E8E">
        <w:rPr>
          <w:snapToGrid w:val="0"/>
        </w:rPr>
        <w:t>4</w:t>
      </w:r>
    </w:p>
    <w:p w14:paraId="0659DFFA" w14:textId="274446B5" w:rsidR="00CC4B48" w:rsidRPr="00D85E8E" w:rsidRDefault="00CC4B48" w:rsidP="00CC4B48">
      <w:pPr>
        <w:jc w:val="left"/>
        <w:rPr>
          <w:snapToGrid w:val="0"/>
        </w:rPr>
      </w:pPr>
      <w:r w:rsidRPr="00D85E8E">
        <w:rPr>
          <w:snapToGrid w:val="0"/>
        </w:rPr>
        <w:t xml:space="preserve">Vypracoval: </w:t>
      </w:r>
      <w:r w:rsidR="00D85E8E" w:rsidRPr="00D85E8E">
        <w:rPr>
          <w:snapToGrid w:val="0"/>
        </w:rPr>
        <w:t>Ing. Milan Víšek</w:t>
      </w:r>
    </w:p>
    <w:sectPr w:rsidR="00CC4B48" w:rsidRPr="00D85E8E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9738" w14:textId="77777777" w:rsidR="00936DAE" w:rsidRDefault="00936DAE">
      <w:r>
        <w:separator/>
      </w:r>
    </w:p>
  </w:endnote>
  <w:endnote w:type="continuationSeparator" w:id="0">
    <w:p w14:paraId="2C761E3C" w14:textId="77777777" w:rsidR="00936DAE" w:rsidRDefault="0093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3779816"/>
      <w:docPartObj>
        <w:docPartGallery w:val="Page Numbers (Bottom of Page)"/>
        <w:docPartUnique/>
      </w:docPartObj>
    </w:sdtPr>
    <w:sdtEndPr/>
    <w:sdtContent>
      <w:p w14:paraId="285F5867" w14:textId="77777777" w:rsidR="00936DAE" w:rsidRDefault="00936D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CE0">
          <w:rPr>
            <w:noProof/>
          </w:rPr>
          <w:t>6</w:t>
        </w:r>
        <w:r>
          <w:fldChar w:fldCharType="end"/>
        </w:r>
      </w:p>
    </w:sdtContent>
  </w:sdt>
  <w:p w14:paraId="6CCF2EF9" w14:textId="77777777" w:rsidR="00936DAE" w:rsidRDefault="00936D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14:paraId="5D49B153" w14:textId="532388FF" w:rsidR="00936DAE" w:rsidRDefault="00936DAE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3F57A335" wp14:editId="1010CF5E">
              <wp:simplePos x="0" y="0"/>
              <wp:positionH relativeFrom="column">
                <wp:posOffset>5244465</wp:posOffset>
              </wp:positionH>
              <wp:positionV relativeFrom="paragraph">
                <wp:posOffset>93980</wp:posOffset>
              </wp:positionV>
              <wp:extent cx="1080000" cy="349200"/>
              <wp:effectExtent l="0" t="0" r="6350" b="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ázek 1"/>
                      <pic:cNvPicPr>
                        <a:picLocks noChangeAspect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060" t="16704" r="7587" b="17062"/>
                      <a:stretch/>
                    </pic:blipFill>
                    <pic:spPr bwMode="auto">
                      <a:xfrm>
                        <a:off x="0" y="0"/>
                        <a:ext cx="1080000" cy="3492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F24B256" w14:textId="0C9F3792" w:rsidR="00936DAE" w:rsidRPr="00187F77" w:rsidRDefault="00936DAE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14:paraId="6DDA90BD" w14:textId="53DFDF31" w:rsidR="00936DAE" w:rsidRPr="00801A9C" w:rsidRDefault="00936DAE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14:paraId="74EF9A78" w14:textId="77777777" w:rsidR="00936DAE" w:rsidRDefault="00936DAE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C6EBF" w14:textId="77777777" w:rsidR="00936DAE" w:rsidRDefault="00936DAE">
      <w:r>
        <w:separator/>
      </w:r>
    </w:p>
  </w:footnote>
  <w:footnote w:type="continuationSeparator" w:id="0">
    <w:p w14:paraId="2E8C934D" w14:textId="77777777" w:rsidR="00936DAE" w:rsidRDefault="0093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BABC5" w14:textId="4B967E39" w:rsidR="00936DAE" w:rsidRPr="00832E1C" w:rsidRDefault="00936DAE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832E1C">
      <w:rPr>
        <w:b/>
        <w:color w:val="0070C0"/>
        <w:sz w:val="18"/>
        <w:szCs w:val="18"/>
      </w:rPr>
      <w:t xml:space="preserve">Nemocnice </w:t>
    </w:r>
    <w:r w:rsidR="00832E1C" w:rsidRPr="00832E1C">
      <w:rPr>
        <w:b/>
        <w:color w:val="0070C0"/>
        <w:sz w:val="18"/>
        <w:szCs w:val="18"/>
      </w:rPr>
      <w:t xml:space="preserve">ve Frýdku-Místku </w:t>
    </w:r>
    <w:r w:rsidRPr="00832E1C">
      <w:rPr>
        <w:b/>
        <w:color w:val="0070C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</w:t>
    </w:r>
    <w:r w:rsidRPr="00832E1C">
      <w:rPr>
        <w:rFonts w:ascii="Arial" w:hAnsi="Arial"/>
        <w:sz w:val="16"/>
        <w:szCs w:val="16"/>
      </w:rPr>
      <w:t xml:space="preserve">         </w:t>
    </w:r>
  </w:p>
  <w:p w14:paraId="3F496023" w14:textId="3F5C003C" w:rsidR="00936DAE" w:rsidRPr="00832E1C" w:rsidRDefault="00936DAE" w:rsidP="00C8493F">
    <w:pPr>
      <w:pStyle w:val="Zhlav"/>
      <w:jc w:val="left"/>
      <w:rPr>
        <w:color w:val="0070C0"/>
        <w:sz w:val="18"/>
        <w:szCs w:val="18"/>
      </w:rPr>
    </w:pPr>
    <w:r w:rsidRPr="00512BE1">
      <w:rPr>
        <w:color w:val="0070C0"/>
        <w:sz w:val="18"/>
        <w:szCs w:val="18"/>
      </w:rPr>
      <w:t xml:space="preserve">Křídlo </w:t>
    </w:r>
    <w:r w:rsidR="0089283A" w:rsidRPr="00512BE1">
      <w:rPr>
        <w:color w:val="0070C0"/>
        <w:sz w:val="18"/>
        <w:szCs w:val="18"/>
      </w:rPr>
      <w:t>D – I. etapa DIP</w:t>
    </w:r>
  </w:p>
  <w:p w14:paraId="7CF9E1B3" w14:textId="78857C95" w:rsidR="00936DAE" w:rsidRPr="006F5B37" w:rsidRDefault="00936DAE" w:rsidP="00C8493F">
    <w:pPr>
      <w:pStyle w:val="Zhlav"/>
      <w:jc w:val="left"/>
      <w:rPr>
        <w:color w:val="0070C0"/>
        <w:sz w:val="18"/>
        <w:szCs w:val="18"/>
      </w:rPr>
    </w:pPr>
    <w:r w:rsidRPr="00832E1C">
      <w:rPr>
        <w:color w:val="0070C0"/>
        <w:sz w:val="18"/>
        <w:szCs w:val="18"/>
      </w:rPr>
      <w:t>D</w:t>
    </w:r>
    <w:r w:rsidR="00832E1C" w:rsidRPr="00832E1C">
      <w:rPr>
        <w:color w:val="0070C0"/>
        <w:sz w:val="18"/>
        <w:szCs w:val="18"/>
      </w:rPr>
      <w:t>P</w:t>
    </w:r>
    <w:r w:rsidR="0089283A">
      <w:rPr>
        <w:color w:val="0070C0"/>
        <w:sz w:val="18"/>
        <w:szCs w:val="18"/>
      </w:rPr>
      <w:t>S</w:t>
    </w:r>
  </w:p>
  <w:p w14:paraId="195478B4" w14:textId="77777777" w:rsidR="00936DAE" w:rsidRDefault="00936DAE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544F7" wp14:editId="0FD3B0E5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D9686" w14:textId="23075464" w:rsidR="00936DAE" w:rsidRDefault="00936DAE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878116">
    <w:abstractNumId w:val="2"/>
  </w:num>
  <w:num w:numId="2" w16cid:durableId="239171827">
    <w:abstractNumId w:val="0"/>
  </w:num>
  <w:num w:numId="3" w16cid:durableId="794518619">
    <w:abstractNumId w:val="3"/>
  </w:num>
  <w:num w:numId="4" w16cid:durableId="2608382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437A4"/>
    <w:rsid w:val="0004420D"/>
    <w:rsid w:val="00053092"/>
    <w:rsid w:val="00060DD9"/>
    <w:rsid w:val="00081028"/>
    <w:rsid w:val="0009479E"/>
    <w:rsid w:val="00151815"/>
    <w:rsid w:val="001758C8"/>
    <w:rsid w:val="001830DC"/>
    <w:rsid w:val="00186832"/>
    <w:rsid w:val="001D07AD"/>
    <w:rsid w:val="001E3070"/>
    <w:rsid w:val="001E7D83"/>
    <w:rsid w:val="001F658A"/>
    <w:rsid w:val="0025331A"/>
    <w:rsid w:val="00272752"/>
    <w:rsid w:val="00273312"/>
    <w:rsid w:val="002823AA"/>
    <w:rsid w:val="00283BBD"/>
    <w:rsid w:val="0029019E"/>
    <w:rsid w:val="00294AFA"/>
    <w:rsid w:val="002B32D6"/>
    <w:rsid w:val="002C2431"/>
    <w:rsid w:val="002D20FC"/>
    <w:rsid w:val="0030167C"/>
    <w:rsid w:val="0031603C"/>
    <w:rsid w:val="00355D8E"/>
    <w:rsid w:val="003B5567"/>
    <w:rsid w:val="003B7A3B"/>
    <w:rsid w:val="003D3B8D"/>
    <w:rsid w:val="003E698B"/>
    <w:rsid w:val="003F32AB"/>
    <w:rsid w:val="003F6E52"/>
    <w:rsid w:val="00417A4C"/>
    <w:rsid w:val="00436D48"/>
    <w:rsid w:val="0044281E"/>
    <w:rsid w:val="0044420E"/>
    <w:rsid w:val="00444369"/>
    <w:rsid w:val="004454C5"/>
    <w:rsid w:val="004567D8"/>
    <w:rsid w:val="00462199"/>
    <w:rsid w:val="004952E9"/>
    <w:rsid w:val="00495E8D"/>
    <w:rsid w:val="00496817"/>
    <w:rsid w:val="004C5DBF"/>
    <w:rsid w:val="004C70D7"/>
    <w:rsid w:val="004D38E5"/>
    <w:rsid w:val="004E1D37"/>
    <w:rsid w:val="004F288B"/>
    <w:rsid w:val="00512BE1"/>
    <w:rsid w:val="005362D3"/>
    <w:rsid w:val="00540572"/>
    <w:rsid w:val="00541758"/>
    <w:rsid w:val="005519A8"/>
    <w:rsid w:val="00551AC7"/>
    <w:rsid w:val="00593490"/>
    <w:rsid w:val="005965D3"/>
    <w:rsid w:val="005A2D6C"/>
    <w:rsid w:val="005A5C2B"/>
    <w:rsid w:val="005A7006"/>
    <w:rsid w:val="005B6CE0"/>
    <w:rsid w:val="005C1CDC"/>
    <w:rsid w:val="005C5C7B"/>
    <w:rsid w:val="005E16EB"/>
    <w:rsid w:val="005E33A8"/>
    <w:rsid w:val="005E6A51"/>
    <w:rsid w:val="00622203"/>
    <w:rsid w:val="00623397"/>
    <w:rsid w:val="006325CB"/>
    <w:rsid w:val="00640C37"/>
    <w:rsid w:val="006608AC"/>
    <w:rsid w:val="00673307"/>
    <w:rsid w:val="006D5EBE"/>
    <w:rsid w:val="006E5F08"/>
    <w:rsid w:val="006F27D3"/>
    <w:rsid w:val="006F71BB"/>
    <w:rsid w:val="00711FF7"/>
    <w:rsid w:val="00724028"/>
    <w:rsid w:val="00751292"/>
    <w:rsid w:val="0076299A"/>
    <w:rsid w:val="00774133"/>
    <w:rsid w:val="007959DE"/>
    <w:rsid w:val="007A0766"/>
    <w:rsid w:val="007D2953"/>
    <w:rsid w:val="007D7049"/>
    <w:rsid w:val="007E119D"/>
    <w:rsid w:val="00801A9C"/>
    <w:rsid w:val="00802D10"/>
    <w:rsid w:val="00817B59"/>
    <w:rsid w:val="00832E1C"/>
    <w:rsid w:val="008401A5"/>
    <w:rsid w:val="008413CE"/>
    <w:rsid w:val="0087195D"/>
    <w:rsid w:val="0089283A"/>
    <w:rsid w:val="0089544D"/>
    <w:rsid w:val="008C3327"/>
    <w:rsid w:val="008C5E74"/>
    <w:rsid w:val="008D44FB"/>
    <w:rsid w:val="008D5637"/>
    <w:rsid w:val="0091528E"/>
    <w:rsid w:val="00936DAE"/>
    <w:rsid w:val="0094044F"/>
    <w:rsid w:val="00945873"/>
    <w:rsid w:val="00945B35"/>
    <w:rsid w:val="00973ADA"/>
    <w:rsid w:val="009A57E6"/>
    <w:rsid w:val="009D13E9"/>
    <w:rsid w:val="009E415D"/>
    <w:rsid w:val="00A03431"/>
    <w:rsid w:val="00A07B1B"/>
    <w:rsid w:val="00A1406C"/>
    <w:rsid w:val="00A15DE3"/>
    <w:rsid w:val="00A24312"/>
    <w:rsid w:val="00A539C3"/>
    <w:rsid w:val="00A75F2D"/>
    <w:rsid w:val="00A84E93"/>
    <w:rsid w:val="00AA5A7A"/>
    <w:rsid w:val="00AD7056"/>
    <w:rsid w:val="00AD753F"/>
    <w:rsid w:val="00B02F77"/>
    <w:rsid w:val="00B13106"/>
    <w:rsid w:val="00B14016"/>
    <w:rsid w:val="00B140A3"/>
    <w:rsid w:val="00B1570C"/>
    <w:rsid w:val="00B244E2"/>
    <w:rsid w:val="00B25372"/>
    <w:rsid w:val="00B31E22"/>
    <w:rsid w:val="00B333C4"/>
    <w:rsid w:val="00B34C1D"/>
    <w:rsid w:val="00B80E41"/>
    <w:rsid w:val="00B833D7"/>
    <w:rsid w:val="00B96543"/>
    <w:rsid w:val="00BA1042"/>
    <w:rsid w:val="00BA5B8C"/>
    <w:rsid w:val="00BB7B26"/>
    <w:rsid w:val="00BC48B2"/>
    <w:rsid w:val="00BD0777"/>
    <w:rsid w:val="00BD4D7E"/>
    <w:rsid w:val="00C20458"/>
    <w:rsid w:val="00C230F2"/>
    <w:rsid w:val="00C370C9"/>
    <w:rsid w:val="00C57CC6"/>
    <w:rsid w:val="00C8493F"/>
    <w:rsid w:val="00CC4B48"/>
    <w:rsid w:val="00CD6BE1"/>
    <w:rsid w:val="00CF1F0E"/>
    <w:rsid w:val="00CF728F"/>
    <w:rsid w:val="00D25FA8"/>
    <w:rsid w:val="00D26757"/>
    <w:rsid w:val="00D274F2"/>
    <w:rsid w:val="00D47E24"/>
    <w:rsid w:val="00D60058"/>
    <w:rsid w:val="00D6060A"/>
    <w:rsid w:val="00D61762"/>
    <w:rsid w:val="00D8412F"/>
    <w:rsid w:val="00D84428"/>
    <w:rsid w:val="00D84FF8"/>
    <w:rsid w:val="00D85E8E"/>
    <w:rsid w:val="00D96064"/>
    <w:rsid w:val="00DD3FA8"/>
    <w:rsid w:val="00DD51CA"/>
    <w:rsid w:val="00DE5C64"/>
    <w:rsid w:val="00DF6479"/>
    <w:rsid w:val="00E00797"/>
    <w:rsid w:val="00E34349"/>
    <w:rsid w:val="00E86259"/>
    <w:rsid w:val="00E95224"/>
    <w:rsid w:val="00E96DF0"/>
    <w:rsid w:val="00EC73F0"/>
    <w:rsid w:val="00EF5EA8"/>
    <w:rsid w:val="00EF69E1"/>
    <w:rsid w:val="00F03FBF"/>
    <w:rsid w:val="00F12C14"/>
    <w:rsid w:val="00F23329"/>
    <w:rsid w:val="00F2372C"/>
    <w:rsid w:val="00F25A4D"/>
    <w:rsid w:val="00F36BA1"/>
    <w:rsid w:val="00F5489A"/>
    <w:rsid w:val="00F62A4F"/>
    <w:rsid w:val="00F81ECD"/>
    <w:rsid w:val="00F8227A"/>
    <w:rsid w:val="00FC7B36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8065"/>
    <o:shapelayout v:ext="edit">
      <o:idmap v:ext="edit" data="1"/>
    </o:shapelayout>
  </w:shapeDefaults>
  <w:decimalSymbol w:val=","/>
  <w:listSeparator w:val=";"/>
  <w14:docId w14:val="2CCBDD6A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2780-0530-415D-8251-EDED8BCB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12</Pages>
  <Words>3986</Words>
  <Characters>23521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12</cp:revision>
  <dcterms:created xsi:type="dcterms:W3CDTF">2024-11-18T13:47:00Z</dcterms:created>
  <dcterms:modified xsi:type="dcterms:W3CDTF">2024-12-03T13:26:00Z</dcterms:modified>
</cp:coreProperties>
</file>